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C67CC">
      <w:pPr>
        <w:pStyle w:val="2"/>
        <w:spacing w:line="360" w:lineRule="exact"/>
        <w:jc w:val="both"/>
        <w:rPr>
          <w:rFonts w:eastAsia="仿宋_GB2312"/>
          <w:szCs w:val="32"/>
        </w:rPr>
      </w:pPr>
    </w:p>
    <w:p w14:paraId="60262903">
      <w:pPr>
        <w:pStyle w:val="2"/>
        <w:snapToGrid w:val="0"/>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天津市人民政府办公厅关于印发天津市区域性股权市场监督管理实施细则（试行）的通知</w:t>
      </w:r>
    </w:p>
    <w:p w14:paraId="15A1B7D0">
      <w:pPr>
        <w:pStyle w:val="2"/>
        <w:rPr>
          <w:rFonts w:ascii="仿宋_GB2312" w:hAnsi="仿宋_GB2312" w:eastAsia="仿宋_GB2312" w:cs="仿宋_GB2312"/>
          <w:szCs w:val="32"/>
        </w:rPr>
      </w:pPr>
    </w:p>
    <w:p w14:paraId="68455F21">
      <w:pPr>
        <w:pStyle w:val="2"/>
        <w:rPr>
          <w:rFonts w:ascii="仿宋_GB2312" w:eastAsia="仿宋_GB2312"/>
        </w:rPr>
      </w:pPr>
      <w:r>
        <w:rPr>
          <w:rFonts w:hint="eastAsia" w:ascii="仿宋_GB2312" w:eastAsia="仿宋_GB2312"/>
        </w:rPr>
        <w:t>各区人民政府，市政府各委、办、局：</w:t>
      </w:r>
    </w:p>
    <w:p w14:paraId="4D38D165">
      <w:pPr>
        <w:pStyle w:val="2"/>
        <w:ind w:firstLine="624" w:firstLineChars="200"/>
        <w:rPr>
          <w:rFonts w:hint="eastAsia" w:eastAsia="仿宋_GB2312"/>
          <w:szCs w:val="32"/>
        </w:rPr>
      </w:pPr>
      <w:r>
        <w:rPr>
          <w:rFonts w:hint="eastAsia" w:eastAsia="仿宋_GB2312"/>
          <w:szCs w:val="32"/>
        </w:rPr>
        <w:t>经市人民政府同意，现将《天津市区域性股权市场监督管理实施细则（试行）》印发给你们，请照此执行。</w:t>
      </w:r>
    </w:p>
    <w:p w14:paraId="7CFE7E18">
      <w:pPr>
        <w:pStyle w:val="2"/>
        <w:ind w:firstLine="624" w:firstLineChars="200"/>
        <w:rPr>
          <w:rFonts w:hint="eastAsia" w:eastAsia="仿宋_GB2312"/>
          <w:szCs w:val="32"/>
        </w:rPr>
      </w:pPr>
    </w:p>
    <w:p w14:paraId="59DF1567">
      <w:pPr>
        <w:pStyle w:val="2"/>
        <w:ind w:firstLine="4680" w:firstLineChars="1500"/>
        <w:rPr>
          <w:rFonts w:eastAsia="仿宋_GB2312"/>
          <w:szCs w:val="32"/>
        </w:rPr>
      </w:pPr>
      <w:r>
        <w:rPr>
          <w:rFonts w:hint="eastAsia" w:ascii="Times New Roman" w:hAnsi="Times New Roman" w:eastAsia="仿宋_GB2312"/>
          <w:szCs w:val="32"/>
          <w:lang w:val="en-US" w:eastAsia="zh-CN"/>
        </w:rPr>
        <w:t>天津市人民政府办公厅</w:t>
      </w:r>
    </w:p>
    <w:p w14:paraId="3CD427BD">
      <w:pPr>
        <w:pStyle w:val="2"/>
        <w:wordWrap w:val="0"/>
        <w:jc w:val="right"/>
        <w:rPr>
          <w:rFonts w:eastAsia="仿宋_GB2312"/>
          <w:szCs w:val="32"/>
        </w:rPr>
      </w:pPr>
      <w:r>
        <w:rPr>
          <w:rFonts w:hint="eastAsia" w:eastAsia="仿宋_GB2312"/>
          <w:szCs w:val="32"/>
        </w:rPr>
        <w:t>2025年</w:t>
      </w:r>
      <w:r>
        <w:rPr>
          <w:rFonts w:eastAsia="仿宋_GB2312"/>
          <w:szCs w:val="32"/>
        </w:rPr>
        <w:t>7</w:t>
      </w:r>
      <w:r>
        <w:rPr>
          <w:rFonts w:hint="eastAsia" w:eastAsia="仿宋_GB2312"/>
          <w:szCs w:val="32"/>
        </w:rPr>
        <w:t>月</w:t>
      </w:r>
      <w:r>
        <w:rPr>
          <w:rFonts w:eastAsia="仿宋_GB2312"/>
          <w:szCs w:val="32"/>
        </w:rPr>
        <w:t>26</w:t>
      </w:r>
      <w:r>
        <w:rPr>
          <w:rFonts w:hint="eastAsia" w:eastAsia="仿宋_GB2312"/>
          <w:szCs w:val="32"/>
        </w:rPr>
        <w:t xml:space="preserve">日        </w:t>
      </w:r>
    </w:p>
    <w:p w14:paraId="0CC5F127">
      <w:pPr>
        <w:pStyle w:val="2"/>
        <w:rPr>
          <w:rFonts w:eastAsia="仿宋_GB2312"/>
          <w:szCs w:val="32"/>
        </w:rPr>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pPr>
      <w:r>
        <w:rPr>
          <w:rFonts w:hint="eastAsia" w:eastAsia="仿宋_GB2312"/>
          <w:szCs w:val="32"/>
        </w:rPr>
        <w:t xml:space="preserve">    （此件主动公开）</w:t>
      </w:r>
    </w:p>
    <w:p w14:paraId="2BB1DD6E">
      <w:pPr>
        <w:pStyle w:val="2"/>
        <w:snapToGrid w:val="0"/>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天津市区</w:t>
      </w:r>
      <w:bookmarkStart w:id="0" w:name="_GoBack"/>
      <w:bookmarkEnd w:id="0"/>
      <w:r>
        <w:rPr>
          <w:rStyle w:val="10"/>
          <w:rFonts w:hint="eastAsia" w:ascii="方正小标宋简体" w:hAnsi="方正小标宋简体" w:eastAsia="方正小标宋简体" w:cs="方正小标宋简体"/>
          <w:color w:val="auto"/>
          <w:sz w:val="44"/>
          <w:szCs w:val="44"/>
          <w:u w:val="none"/>
        </w:rPr>
        <w:t>域性股权市场</w:t>
      </w:r>
    </w:p>
    <w:p w14:paraId="16F48EE4">
      <w:pPr>
        <w:pStyle w:val="2"/>
        <w:snapToGrid w:val="0"/>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监督管理实施细则（试行）</w:t>
      </w:r>
    </w:p>
    <w:p w14:paraId="0E018AA8">
      <w:pPr>
        <w:pStyle w:val="2"/>
        <w:snapToGrid w:val="0"/>
        <w:rPr>
          <w:rFonts w:eastAsia="仿宋_GB2312"/>
          <w:szCs w:val="32"/>
        </w:rPr>
      </w:pPr>
    </w:p>
    <w:p w14:paraId="43CC9E6D">
      <w:pPr>
        <w:pStyle w:val="2"/>
        <w:jc w:val="center"/>
        <w:rPr>
          <w:rFonts w:ascii="黑体" w:hAnsi="黑体" w:eastAsia="黑体" w:cs="黑体"/>
          <w:szCs w:val="32"/>
        </w:rPr>
      </w:pPr>
      <w:r>
        <w:rPr>
          <w:rFonts w:hint="eastAsia" w:ascii="黑体" w:hAnsi="黑体" w:eastAsia="黑体" w:cs="黑体"/>
          <w:szCs w:val="32"/>
        </w:rPr>
        <w:t>第一章　总则</w:t>
      </w:r>
    </w:p>
    <w:p w14:paraId="1F299ECA">
      <w:pPr>
        <w:pStyle w:val="2"/>
        <w:ind w:firstLine="624" w:firstLineChars="200"/>
        <w:rPr>
          <w:rFonts w:eastAsia="仿宋_GB2312"/>
          <w:szCs w:val="32"/>
        </w:rPr>
      </w:pPr>
    </w:p>
    <w:p w14:paraId="183A4A00">
      <w:pPr>
        <w:pStyle w:val="2"/>
        <w:ind w:firstLine="624" w:firstLineChars="200"/>
        <w:rPr>
          <w:rFonts w:eastAsia="仿宋_GB2312"/>
          <w:szCs w:val="32"/>
        </w:rPr>
      </w:pPr>
      <w:r>
        <w:rPr>
          <w:rFonts w:hint="eastAsia" w:ascii="黑体" w:hAnsi="黑体" w:eastAsia="黑体" w:cs="黑体"/>
          <w:szCs w:val="32"/>
        </w:rPr>
        <w:t>第一条</w:t>
      </w:r>
      <w:r>
        <w:rPr>
          <w:rFonts w:hint="eastAsia" w:eastAsia="仿宋_GB2312"/>
          <w:szCs w:val="32"/>
        </w:rPr>
        <w:t>　为规范本市区域性股权市场活动，保护投资者合法权益，防范区域性股权市场风险，促进区域性股权市场健康发展，根据《中华人民共和国证券法》、《中华人民共和国公司法》等法律规定，以及国家关于规范发展区域性股权市场相关文件规定，结合本市实际，制定本细则。</w:t>
      </w:r>
    </w:p>
    <w:p w14:paraId="525659CD">
      <w:pPr>
        <w:pStyle w:val="2"/>
        <w:ind w:firstLine="624" w:firstLineChars="200"/>
        <w:rPr>
          <w:rFonts w:eastAsia="仿宋_GB2312"/>
          <w:szCs w:val="32"/>
        </w:rPr>
      </w:pPr>
      <w:r>
        <w:rPr>
          <w:rFonts w:hint="eastAsia" w:ascii="黑体" w:hAnsi="黑体" w:eastAsia="黑体" w:cs="黑体"/>
          <w:szCs w:val="32"/>
        </w:rPr>
        <w:t>第二条　</w:t>
      </w:r>
      <w:r>
        <w:rPr>
          <w:rFonts w:hint="eastAsia" w:eastAsia="仿宋_GB2312"/>
          <w:szCs w:val="32"/>
        </w:rPr>
        <w:t>在本市区域性股权市场非公开发行、转让本市行政区域内中小微企业股票、可转换为股票的公司债券</w:t>
      </w:r>
      <w:r>
        <w:rPr>
          <w:rFonts w:hint="eastAsia" w:ascii="仿宋_GB2312" w:hAnsi="仿宋_GB2312" w:eastAsia="仿宋_GB2312" w:cs="仿宋_GB2312"/>
          <w:szCs w:val="32"/>
        </w:rPr>
        <w:t>(以下简称可转债)</w:t>
      </w:r>
      <w:r>
        <w:rPr>
          <w:rFonts w:hint="eastAsia" w:eastAsia="仿宋_GB2312"/>
          <w:szCs w:val="32"/>
        </w:rPr>
        <w:t>和国务院有关部门认可的其他证券，以及相关活动，适用本细则。</w:t>
      </w:r>
    </w:p>
    <w:p w14:paraId="30EB531E">
      <w:pPr>
        <w:pStyle w:val="2"/>
        <w:ind w:firstLine="624" w:firstLineChars="200"/>
        <w:rPr>
          <w:rFonts w:eastAsia="仿宋_GB2312"/>
          <w:szCs w:val="32"/>
        </w:rPr>
      </w:pPr>
      <w:r>
        <w:rPr>
          <w:rFonts w:hint="eastAsia" w:ascii="黑体" w:hAnsi="黑体" w:eastAsia="黑体" w:cs="黑体"/>
          <w:szCs w:val="32"/>
        </w:rPr>
        <w:t>第三条</w:t>
      </w:r>
      <w:r>
        <w:rPr>
          <w:rFonts w:hint="eastAsia" w:eastAsia="仿宋_GB2312"/>
          <w:szCs w:val="32"/>
        </w:rPr>
        <w:t>　本细则所称区域性股权市场，是指为本市行政区域内中小微企业证券非公开发行、转让及相关活动提供设施与服务的场所。</w:t>
      </w:r>
    </w:p>
    <w:p w14:paraId="753D0CA9">
      <w:pPr>
        <w:pStyle w:val="2"/>
        <w:ind w:firstLine="624" w:firstLineChars="200"/>
        <w:rPr>
          <w:rFonts w:eastAsia="仿宋_GB2312"/>
          <w:szCs w:val="32"/>
        </w:rPr>
      </w:pPr>
      <w:r>
        <w:rPr>
          <w:rFonts w:hint="eastAsia" w:eastAsia="仿宋_GB2312"/>
          <w:szCs w:val="32"/>
        </w:rPr>
        <w:t>除区域性股权市场外，其他各类交易场所不得组织证券发行和转让活动。</w:t>
      </w:r>
    </w:p>
    <w:p w14:paraId="32DC6EAD">
      <w:pPr>
        <w:pStyle w:val="2"/>
        <w:ind w:firstLine="624" w:firstLineChars="200"/>
        <w:rPr>
          <w:rFonts w:eastAsia="仿宋_GB2312"/>
          <w:szCs w:val="32"/>
        </w:rPr>
      </w:pPr>
      <w:r>
        <w:rPr>
          <w:rFonts w:hint="eastAsia" w:ascii="黑体" w:hAnsi="黑体" w:eastAsia="黑体" w:cs="黑体"/>
          <w:szCs w:val="32"/>
        </w:rPr>
        <w:t>第四条</w:t>
      </w:r>
      <w:r>
        <w:rPr>
          <w:rFonts w:hint="eastAsia" w:eastAsia="仿宋_GB2312"/>
          <w:szCs w:val="32"/>
        </w:rPr>
        <w:t>　市人民政府依法对本市区域性股权市场进行监督管理，负责风险处置。</w:t>
      </w:r>
    </w:p>
    <w:p w14:paraId="51E2F9D7">
      <w:pPr>
        <w:pStyle w:val="2"/>
        <w:ind w:firstLine="624" w:firstLineChars="200"/>
        <w:rPr>
          <w:rFonts w:eastAsia="仿宋_GB2312"/>
          <w:szCs w:val="32"/>
        </w:rPr>
      </w:pPr>
      <w:r>
        <w:rPr>
          <w:rFonts w:hint="eastAsia" w:eastAsia="仿宋_GB2312"/>
          <w:szCs w:val="32"/>
        </w:rPr>
        <w:t>市人民政府指定市地方金融管理局作为本市区域性股权市场的监管部门，负责日常监督管理，依法查处违法违规行为，组织开展风险防范、处置工作。</w:t>
      </w:r>
    </w:p>
    <w:p w14:paraId="47B5F3EE">
      <w:pPr>
        <w:pStyle w:val="2"/>
        <w:ind w:firstLine="624" w:firstLineChars="200"/>
        <w:rPr>
          <w:rFonts w:eastAsia="仿宋_GB2312"/>
          <w:szCs w:val="32"/>
        </w:rPr>
      </w:pPr>
    </w:p>
    <w:p w14:paraId="4D51A408">
      <w:pPr>
        <w:pStyle w:val="2"/>
        <w:jc w:val="center"/>
        <w:rPr>
          <w:rFonts w:ascii="黑体" w:hAnsi="黑体" w:eastAsia="黑体" w:cs="黑体"/>
          <w:szCs w:val="32"/>
        </w:rPr>
      </w:pPr>
      <w:r>
        <w:rPr>
          <w:rFonts w:hint="eastAsia" w:ascii="黑体" w:hAnsi="黑体" w:eastAsia="黑体" w:cs="黑体"/>
          <w:szCs w:val="32"/>
        </w:rPr>
        <w:t>第二章　运营机构</w:t>
      </w:r>
    </w:p>
    <w:p w14:paraId="2BFE9795">
      <w:pPr>
        <w:pStyle w:val="2"/>
        <w:ind w:firstLine="624" w:firstLineChars="200"/>
        <w:rPr>
          <w:rFonts w:eastAsia="仿宋_GB2312"/>
          <w:szCs w:val="32"/>
        </w:rPr>
      </w:pPr>
    </w:p>
    <w:p w14:paraId="65740DA0">
      <w:pPr>
        <w:pStyle w:val="2"/>
        <w:ind w:firstLine="624" w:firstLineChars="200"/>
        <w:rPr>
          <w:rFonts w:eastAsia="仿宋_GB2312"/>
          <w:szCs w:val="32"/>
        </w:rPr>
      </w:pPr>
      <w:r>
        <w:rPr>
          <w:rFonts w:hint="eastAsia" w:ascii="黑体" w:hAnsi="黑体" w:eastAsia="黑体" w:cs="黑体"/>
          <w:szCs w:val="32"/>
        </w:rPr>
        <w:t>第五条</w:t>
      </w:r>
      <w:r>
        <w:rPr>
          <w:rFonts w:hint="eastAsia" w:eastAsia="仿宋_GB2312"/>
          <w:szCs w:val="32"/>
        </w:rPr>
        <w:t>　本市区域性股权市场运营机构（以下简称运营机构）需经市人民政府公告，并报中国证券监督管理委员会（以下简称中国证监会）备案。运营机构应当具备下列条件：</w:t>
      </w:r>
    </w:p>
    <w:p w14:paraId="11B13A3E">
      <w:pPr>
        <w:pStyle w:val="2"/>
        <w:ind w:firstLine="624" w:firstLineChars="200"/>
        <w:rPr>
          <w:rFonts w:eastAsia="仿宋_GB2312"/>
          <w:szCs w:val="32"/>
        </w:rPr>
      </w:pPr>
      <w:r>
        <w:rPr>
          <w:rFonts w:hint="eastAsia" w:eastAsia="仿宋_GB2312"/>
          <w:szCs w:val="32"/>
        </w:rPr>
        <w:t>（一）依法设立的法人；</w:t>
      </w:r>
    </w:p>
    <w:p w14:paraId="785D0C3A">
      <w:pPr>
        <w:pStyle w:val="2"/>
        <w:ind w:firstLine="624" w:firstLineChars="200"/>
        <w:rPr>
          <w:rFonts w:eastAsia="仿宋_GB2312"/>
          <w:szCs w:val="32"/>
        </w:rPr>
      </w:pPr>
      <w:r>
        <w:rPr>
          <w:rFonts w:hint="eastAsia" w:eastAsia="仿宋_GB2312"/>
          <w:szCs w:val="32"/>
        </w:rPr>
        <w:t>（二）开展业务活动必需的营业场所、业务设施、营运资金和专业人员；</w:t>
      </w:r>
    </w:p>
    <w:p w14:paraId="616FAFBE">
      <w:pPr>
        <w:pStyle w:val="2"/>
        <w:ind w:firstLine="624" w:firstLineChars="200"/>
        <w:rPr>
          <w:rFonts w:eastAsia="仿宋_GB2312"/>
          <w:szCs w:val="32"/>
        </w:rPr>
      </w:pPr>
      <w:r>
        <w:rPr>
          <w:rFonts w:hint="eastAsia" w:eastAsia="仿宋_GB2312"/>
          <w:szCs w:val="32"/>
        </w:rPr>
        <w:t>（三）健全的法人治理结构；</w:t>
      </w:r>
    </w:p>
    <w:p w14:paraId="6CEAAF36">
      <w:pPr>
        <w:pStyle w:val="2"/>
        <w:ind w:firstLine="624" w:firstLineChars="200"/>
        <w:rPr>
          <w:rFonts w:eastAsia="仿宋_GB2312"/>
          <w:szCs w:val="32"/>
        </w:rPr>
      </w:pPr>
      <w:r>
        <w:rPr>
          <w:rFonts w:hint="eastAsia" w:eastAsia="仿宋_GB2312"/>
          <w:szCs w:val="32"/>
        </w:rPr>
        <w:t>（四）完善的风险管理与内部控制制度；</w:t>
      </w:r>
    </w:p>
    <w:p w14:paraId="4FDC3B83">
      <w:pPr>
        <w:pStyle w:val="2"/>
        <w:ind w:firstLine="624" w:firstLineChars="200"/>
        <w:rPr>
          <w:rFonts w:eastAsia="仿宋_GB2312"/>
          <w:szCs w:val="32"/>
        </w:rPr>
      </w:pPr>
      <w:r>
        <w:rPr>
          <w:rFonts w:hint="eastAsia" w:eastAsia="仿宋_GB2312"/>
          <w:szCs w:val="32"/>
        </w:rPr>
        <w:t>（五）法律、行政法规和中国证监会规定的其他条件。</w:t>
      </w:r>
    </w:p>
    <w:p w14:paraId="40511529">
      <w:pPr>
        <w:pStyle w:val="2"/>
        <w:ind w:firstLine="624" w:firstLineChars="200"/>
        <w:rPr>
          <w:rFonts w:eastAsia="仿宋_GB2312"/>
          <w:szCs w:val="32"/>
        </w:rPr>
      </w:pPr>
      <w:r>
        <w:rPr>
          <w:rFonts w:hint="eastAsia" w:eastAsia="仿宋_GB2312"/>
          <w:szCs w:val="32"/>
        </w:rPr>
        <w:t>证券公司可以参股、控股运营机构。</w:t>
      </w:r>
    </w:p>
    <w:p w14:paraId="36B19956">
      <w:pPr>
        <w:pStyle w:val="2"/>
        <w:ind w:firstLine="624" w:firstLineChars="200"/>
        <w:rPr>
          <w:rFonts w:eastAsia="仿宋_GB2312"/>
          <w:szCs w:val="32"/>
        </w:rPr>
      </w:pPr>
      <w:r>
        <w:rPr>
          <w:rFonts w:hint="eastAsia" w:eastAsia="仿宋_GB2312"/>
          <w:szCs w:val="32"/>
        </w:rPr>
        <w:t>存在《中华人民共和国证券法》第一百零三条规定的情形，或者被中国证监会采取证券市场禁入措施且仍处于禁入期间的，不得担任运营机构的负责人。</w:t>
      </w:r>
    </w:p>
    <w:p w14:paraId="7F39AFE2">
      <w:pPr>
        <w:pStyle w:val="2"/>
        <w:ind w:firstLine="624" w:firstLineChars="200"/>
        <w:rPr>
          <w:rFonts w:eastAsia="仿宋_GB2312"/>
          <w:szCs w:val="32"/>
        </w:rPr>
      </w:pPr>
      <w:r>
        <w:rPr>
          <w:rFonts w:hint="eastAsia" w:ascii="黑体" w:hAnsi="黑体" w:eastAsia="黑体" w:cs="黑体"/>
          <w:szCs w:val="32"/>
        </w:rPr>
        <w:t>第六条</w:t>
      </w:r>
      <w:r>
        <w:rPr>
          <w:rFonts w:hint="eastAsia" w:eastAsia="仿宋_GB2312"/>
          <w:szCs w:val="32"/>
        </w:rPr>
        <w:t>　运营机构负责组织本市区域性股权市场活动，基本职能包括：</w:t>
      </w:r>
    </w:p>
    <w:p w14:paraId="0DE0EF24">
      <w:pPr>
        <w:pStyle w:val="2"/>
        <w:ind w:firstLine="624" w:firstLineChars="200"/>
        <w:rPr>
          <w:rFonts w:eastAsia="仿宋_GB2312"/>
          <w:szCs w:val="32"/>
        </w:rPr>
      </w:pPr>
      <w:r>
        <w:rPr>
          <w:rFonts w:hint="eastAsia" w:eastAsia="仿宋_GB2312"/>
          <w:szCs w:val="32"/>
        </w:rPr>
        <w:t>（一）制定业务操作细则和自律管理规则，并报市地方金融管理局和天津证监局备案；</w:t>
      </w:r>
    </w:p>
    <w:p w14:paraId="2EDD0C26">
      <w:pPr>
        <w:pStyle w:val="2"/>
        <w:ind w:firstLine="624" w:firstLineChars="200"/>
        <w:rPr>
          <w:rFonts w:eastAsia="仿宋_GB2312"/>
          <w:szCs w:val="32"/>
        </w:rPr>
      </w:pPr>
      <w:r>
        <w:rPr>
          <w:rFonts w:hint="eastAsia" w:eastAsia="仿宋_GB2312"/>
          <w:szCs w:val="32"/>
        </w:rPr>
        <w:t>（二）开发、运行、维护本市区域性股权市场信息系统，管理信息安全；</w:t>
      </w:r>
    </w:p>
    <w:p w14:paraId="05CF06CD">
      <w:pPr>
        <w:pStyle w:val="2"/>
        <w:ind w:firstLine="624" w:firstLineChars="200"/>
        <w:rPr>
          <w:rFonts w:eastAsia="仿宋_GB2312"/>
          <w:szCs w:val="32"/>
        </w:rPr>
      </w:pPr>
      <w:r>
        <w:rPr>
          <w:rFonts w:hint="eastAsia" w:eastAsia="仿宋_GB2312"/>
          <w:szCs w:val="32"/>
        </w:rPr>
        <w:t>（三）依法对证券发行、挂牌转让申请进行审查并出具意见；</w:t>
      </w:r>
    </w:p>
    <w:p w14:paraId="45A63039">
      <w:pPr>
        <w:pStyle w:val="2"/>
        <w:ind w:firstLine="624" w:firstLineChars="200"/>
        <w:rPr>
          <w:rFonts w:eastAsia="仿宋_GB2312"/>
          <w:szCs w:val="32"/>
        </w:rPr>
      </w:pPr>
      <w:r>
        <w:rPr>
          <w:rFonts w:hint="eastAsia" w:eastAsia="仿宋_GB2312"/>
          <w:szCs w:val="32"/>
        </w:rPr>
        <w:t>（四）组织本市区域性股权市场的中小微企业证券非公开发行、转让及相关活动；</w:t>
      </w:r>
    </w:p>
    <w:p w14:paraId="70AD2368">
      <w:pPr>
        <w:pStyle w:val="2"/>
        <w:ind w:firstLine="624" w:firstLineChars="200"/>
        <w:rPr>
          <w:rFonts w:eastAsia="仿宋_GB2312"/>
          <w:szCs w:val="32"/>
        </w:rPr>
      </w:pPr>
      <w:r>
        <w:rPr>
          <w:rFonts w:hint="eastAsia" w:eastAsia="仿宋_GB2312"/>
          <w:szCs w:val="32"/>
        </w:rPr>
        <w:t>（五）组织中介机构开展本市区域性股权市场中介服务活动；</w:t>
      </w:r>
    </w:p>
    <w:p w14:paraId="660B390A">
      <w:pPr>
        <w:pStyle w:val="2"/>
        <w:ind w:firstLine="624" w:firstLineChars="200"/>
        <w:rPr>
          <w:rFonts w:eastAsia="仿宋_GB2312"/>
          <w:szCs w:val="32"/>
        </w:rPr>
      </w:pPr>
      <w:r>
        <w:rPr>
          <w:rFonts w:hint="eastAsia" w:eastAsia="仿宋_GB2312"/>
          <w:szCs w:val="32"/>
        </w:rPr>
        <w:t>（六）对本市区域性股权市场参与者进行自律管理；</w:t>
      </w:r>
    </w:p>
    <w:p w14:paraId="4CFB4139">
      <w:pPr>
        <w:pStyle w:val="2"/>
        <w:ind w:firstLine="624" w:firstLineChars="200"/>
        <w:rPr>
          <w:rFonts w:eastAsia="仿宋_GB2312"/>
          <w:szCs w:val="32"/>
        </w:rPr>
      </w:pPr>
      <w:r>
        <w:rPr>
          <w:rFonts w:hint="eastAsia" w:eastAsia="仿宋_GB2312"/>
          <w:szCs w:val="32"/>
        </w:rPr>
        <w:t>（七）法律、行政法规和中国证监会规定的其他职能。</w:t>
      </w:r>
    </w:p>
    <w:p w14:paraId="04C1B810">
      <w:pPr>
        <w:pStyle w:val="2"/>
        <w:ind w:firstLine="624" w:firstLineChars="200"/>
        <w:rPr>
          <w:rFonts w:eastAsia="仿宋_GB2312"/>
          <w:szCs w:val="32"/>
        </w:rPr>
      </w:pPr>
      <w:r>
        <w:rPr>
          <w:rFonts w:hint="eastAsia" w:ascii="黑体" w:hAnsi="黑体" w:eastAsia="黑体" w:cs="黑体"/>
          <w:szCs w:val="32"/>
        </w:rPr>
        <w:t>第七条</w:t>
      </w:r>
      <w:r>
        <w:rPr>
          <w:rFonts w:hint="eastAsia" w:eastAsia="仿宋_GB2312"/>
          <w:szCs w:val="32"/>
        </w:rPr>
        <w:t>　运营机构发生下列事项时，需向市地方金融管理局报告后，向天津证监局备案：</w:t>
      </w:r>
    </w:p>
    <w:p w14:paraId="274F7631">
      <w:pPr>
        <w:pStyle w:val="2"/>
        <w:ind w:firstLine="624" w:firstLineChars="200"/>
        <w:rPr>
          <w:rFonts w:eastAsia="仿宋_GB2312"/>
          <w:szCs w:val="32"/>
        </w:rPr>
      </w:pPr>
      <w:r>
        <w:rPr>
          <w:rFonts w:hint="eastAsia" w:eastAsia="仿宋_GB2312"/>
          <w:szCs w:val="32"/>
        </w:rPr>
        <w:t>（一）控股股东、实际控制人发生调整（包括股权转让、委托行使表决权等）；</w:t>
      </w:r>
    </w:p>
    <w:p w14:paraId="4F345EA1">
      <w:pPr>
        <w:pStyle w:val="2"/>
        <w:ind w:firstLine="624" w:firstLineChars="200"/>
        <w:rPr>
          <w:rFonts w:eastAsia="仿宋_GB2312"/>
          <w:szCs w:val="32"/>
        </w:rPr>
      </w:pPr>
      <w:r>
        <w:rPr>
          <w:rFonts w:hint="eastAsia" w:eastAsia="仿宋_GB2312"/>
          <w:szCs w:val="32"/>
        </w:rPr>
        <w:t>（二）法定代表人、董事长、总经理发生变更；</w:t>
      </w:r>
    </w:p>
    <w:p w14:paraId="2C0B509A">
      <w:pPr>
        <w:pStyle w:val="2"/>
        <w:ind w:firstLine="624" w:firstLineChars="200"/>
        <w:rPr>
          <w:rFonts w:eastAsia="仿宋_GB2312"/>
          <w:spacing w:val="-2"/>
          <w:szCs w:val="32"/>
        </w:rPr>
      </w:pPr>
      <w:r>
        <w:rPr>
          <w:rFonts w:hint="eastAsia" w:eastAsia="仿宋_GB2312"/>
          <w:szCs w:val="32"/>
        </w:rPr>
        <w:t>（三）</w:t>
      </w:r>
      <w:r>
        <w:rPr>
          <w:rFonts w:hint="eastAsia" w:eastAsia="仿宋_GB2312"/>
          <w:spacing w:val="-2"/>
          <w:szCs w:val="32"/>
        </w:rPr>
        <w:t>股本、持股（包括表决权）百分之五以上股东发生变动；</w:t>
      </w:r>
    </w:p>
    <w:p w14:paraId="179628EA">
      <w:pPr>
        <w:pStyle w:val="2"/>
        <w:ind w:firstLine="624" w:firstLineChars="200"/>
        <w:rPr>
          <w:rFonts w:eastAsia="仿宋_GB2312"/>
          <w:szCs w:val="32"/>
        </w:rPr>
      </w:pPr>
      <w:r>
        <w:rPr>
          <w:rFonts w:hint="eastAsia" w:eastAsia="仿宋_GB2312"/>
          <w:szCs w:val="32"/>
        </w:rPr>
        <w:t>（四）变更名称、注册地或者调整经营范围；</w:t>
      </w:r>
    </w:p>
    <w:p w14:paraId="6746A286">
      <w:pPr>
        <w:pStyle w:val="2"/>
        <w:ind w:firstLine="624" w:firstLineChars="200"/>
        <w:rPr>
          <w:rFonts w:eastAsia="仿宋_GB2312"/>
          <w:szCs w:val="32"/>
        </w:rPr>
      </w:pPr>
      <w:r>
        <w:rPr>
          <w:rFonts w:hint="eastAsia" w:eastAsia="仿宋_GB2312"/>
          <w:szCs w:val="32"/>
        </w:rPr>
        <w:t>（五）修改公司章程及重要自律规则；</w:t>
      </w:r>
    </w:p>
    <w:p w14:paraId="024CC2CA">
      <w:pPr>
        <w:pStyle w:val="2"/>
        <w:ind w:firstLine="624" w:firstLineChars="200"/>
        <w:rPr>
          <w:rFonts w:eastAsia="仿宋_GB2312"/>
          <w:szCs w:val="32"/>
        </w:rPr>
      </w:pPr>
      <w:r>
        <w:rPr>
          <w:rFonts w:hint="eastAsia" w:eastAsia="仿宋_GB2312"/>
          <w:szCs w:val="32"/>
        </w:rPr>
        <w:t>（六）发生合并、分立、清算；</w:t>
      </w:r>
    </w:p>
    <w:p w14:paraId="58616D2A">
      <w:pPr>
        <w:pStyle w:val="2"/>
        <w:ind w:firstLine="624" w:firstLineChars="200"/>
        <w:rPr>
          <w:rFonts w:eastAsia="仿宋_GB2312"/>
          <w:szCs w:val="32"/>
        </w:rPr>
      </w:pPr>
      <w:r>
        <w:rPr>
          <w:rFonts w:hint="eastAsia" w:eastAsia="仿宋_GB2312"/>
          <w:szCs w:val="32"/>
        </w:rPr>
        <w:t>（七）市地方金融管理局根据审慎原则认定的其他重大事项。</w:t>
      </w:r>
    </w:p>
    <w:p w14:paraId="7D2B8300">
      <w:pPr>
        <w:pStyle w:val="2"/>
        <w:ind w:firstLine="624" w:firstLineChars="200"/>
        <w:rPr>
          <w:rFonts w:eastAsia="仿宋_GB2312"/>
          <w:szCs w:val="32"/>
        </w:rPr>
      </w:pPr>
    </w:p>
    <w:p w14:paraId="671409B2">
      <w:pPr>
        <w:pStyle w:val="2"/>
        <w:jc w:val="center"/>
        <w:rPr>
          <w:rFonts w:ascii="黑体" w:hAnsi="黑体" w:eastAsia="黑体" w:cs="黑体"/>
          <w:szCs w:val="32"/>
        </w:rPr>
      </w:pPr>
      <w:r>
        <w:rPr>
          <w:rFonts w:hint="eastAsia" w:ascii="黑体" w:hAnsi="黑体" w:eastAsia="黑体" w:cs="黑体"/>
          <w:szCs w:val="32"/>
        </w:rPr>
        <w:t>第三章　证券发行与转让</w:t>
      </w:r>
    </w:p>
    <w:p w14:paraId="0F363BC2">
      <w:pPr>
        <w:pStyle w:val="2"/>
        <w:ind w:firstLine="624" w:firstLineChars="200"/>
        <w:rPr>
          <w:rFonts w:eastAsia="仿宋_GB2312"/>
          <w:szCs w:val="32"/>
        </w:rPr>
      </w:pPr>
    </w:p>
    <w:p w14:paraId="3D281FC4">
      <w:pPr>
        <w:pStyle w:val="2"/>
        <w:ind w:firstLine="624" w:firstLineChars="200"/>
        <w:rPr>
          <w:rFonts w:eastAsia="仿宋_GB2312"/>
          <w:szCs w:val="32"/>
        </w:rPr>
      </w:pPr>
      <w:r>
        <w:rPr>
          <w:rFonts w:hint="eastAsia" w:ascii="黑体" w:hAnsi="黑体" w:eastAsia="黑体" w:cs="黑体"/>
          <w:szCs w:val="32"/>
        </w:rPr>
        <w:t>第八条</w:t>
      </w:r>
      <w:r>
        <w:rPr>
          <w:rFonts w:hint="eastAsia" w:eastAsia="仿宋_GB2312"/>
          <w:szCs w:val="32"/>
        </w:rPr>
        <w:t>　企业在本市区域性股权市场发行股票，应当符合下列条件：</w:t>
      </w:r>
    </w:p>
    <w:p w14:paraId="7F1D2927">
      <w:pPr>
        <w:pStyle w:val="2"/>
        <w:ind w:firstLine="624" w:firstLineChars="200"/>
        <w:rPr>
          <w:rFonts w:eastAsia="仿宋_GB2312"/>
          <w:szCs w:val="32"/>
        </w:rPr>
      </w:pPr>
      <w:r>
        <w:rPr>
          <w:rFonts w:hint="eastAsia" w:eastAsia="仿宋_GB2312"/>
          <w:szCs w:val="32"/>
        </w:rPr>
        <w:t>（一）有符合《中华人民共和国公司法》规定的治理结构；</w:t>
      </w:r>
    </w:p>
    <w:p w14:paraId="0B5C2D19">
      <w:pPr>
        <w:pStyle w:val="2"/>
        <w:ind w:firstLine="624" w:firstLineChars="200"/>
        <w:rPr>
          <w:rFonts w:eastAsia="仿宋_GB2312"/>
          <w:szCs w:val="32"/>
        </w:rPr>
      </w:pPr>
      <w:r>
        <w:rPr>
          <w:rFonts w:hint="eastAsia" w:eastAsia="仿宋_GB2312"/>
          <w:szCs w:val="32"/>
        </w:rPr>
        <w:t>（二）最近一个会计年度的财务会计报告无虚假记载；</w:t>
      </w:r>
    </w:p>
    <w:p w14:paraId="0587E4A7">
      <w:pPr>
        <w:pStyle w:val="2"/>
        <w:ind w:firstLine="624" w:firstLineChars="200"/>
        <w:rPr>
          <w:rFonts w:eastAsia="仿宋_GB2312"/>
          <w:szCs w:val="32"/>
        </w:rPr>
      </w:pPr>
      <w:r>
        <w:rPr>
          <w:rFonts w:hint="eastAsia" w:eastAsia="仿宋_GB2312"/>
          <w:szCs w:val="32"/>
        </w:rPr>
        <w:t>（三）没有处于持续状态的重大违法行为；</w:t>
      </w:r>
    </w:p>
    <w:p w14:paraId="700BFD4A">
      <w:pPr>
        <w:pStyle w:val="2"/>
        <w:ind w:firstLine="624" w:firstLineChars="200"/>
        <w:rPr>
          <w:rFonts w:eastAsia="仿宋_GB2312"/>
          <w:szCs w:val="32"/>
        </w:rPr>
      </w:pPr>
      <w:r>
        <w:rPr>
          <w:rFonts w:hint="eastAsia" w:eastAsia="仿宋_GB2312"/>
          <w:szCs w:val="32"/>
        </w:rPr>
        <w:t>（四）法律、行政法规和中国证监会规定的其他条件。</w:t>
      </w:r>
    </w:p>
    <w:p w14:paraId="4915E64F">
      <w:pPr>
        <w:pStyle w:val="2"/>
        <w:ind w:firstLine="624" w:firstLineChars="200"/>
        <w:rPr>
          <w:rFonts w:eastAsia="仿宋_GB2312"/>
          <w:szCs w:val="32"/>
        </w:rPr>
      </w:pPr>
      <w:r>
        <w:rPr>
          <w:rFonts w:hint="eastAsia" w:ascii="黑体" w:hAnsi="黑体" w:eastAsia="黑体" w:cs="黑体"/>
          <w:szCs w:val="32"/>
        </w:rPr>
        <w:t>第九条</w:t>
      </w:r>
      <w:r>
        <w:rPr>
          <w:rFonts w:hint="eastAsia" w:eastAsia="仿宋_GB2312"/>
          <w:szCs w:val="32"/>
        </w:rPr>
        <w:t>　企业在本市区域性股权市场发行可转债，应当符合下列条件：</w:t>
      </w:r>
    </w:p>
    <w:p w14:paraId="2B5C9BB7">
      <w:pPr>
        <w:pStyle w:val="2"/>
        <w:ind w:firstLine="624" w:firstLineChars="200"/>
        <w:rPr>
          <w:rFonts w:eastAsia="仿宋_GB2312"/>
          <w:szCs w:val="32"/>
        </w:rPr>
      </w:pPr>
      <w:r>
        <w:rPr>
          <w:rFonts w:hint="eastAsia" w:eastAsia="仿宋_GB2312"/>
          <w:szCs w:val="32"/>
        </w:rPr>
        <w:t>（一）本细则第八条规定的条件；</w:t>
      </w:r>
    </w:p>
    <w:p w14:paraId="46C12BE0">
      <w:pPr>
        <w:pStyle w:val="2"/>
        <w:ind w:firstLine="624" w:firstLineChars="200"/>
        <w:rPr>
          <w:rFonts w:eastAsia="仿宋_GB2312"/>
          <w:szCs w:val="32"/>
        </w:rPr>
      </w:pPr>
      <w:r>
        <w:rPr>
          <w:rFonts w:hint="eastAsia" w:eastAsia="仿宋_GB2312"/>
          <w:szCs w:val="32"/>
        </w:rPr>
        <w:t>（二）应当为本市区域性股权市场挂牌的股份有限公司，原则上应当为生产经营性公司，单一法人主体，不得由一家以上企业发行集合可转债；</w:t>
      </w:r>
    </w:p>
    <w:p w14:paraId="3AE4E132">
      <w:pPr>
        <w:pStyle w:val="2"/>
        <w:ind w:firstLine="624" w:firstLineChars="200"/>
        <w:rPr>
          <w:rFonts w:eastAsia="仿宋_GB2312"/>
          <w:szCs w:val="32"/>
        </w:rPr>
      </w:pPr>
      <w:r>
        <w:rPr>
          <w:rFonts w:hint="eastAsia" w:eastAsia="仿宋_GB2312"/>
          <w:szCs w:val="32"/>
        </w:rPr>
        <w:t>（三）公司治理结构健全，内部管理制度较完善；</w:t>
      </w:r>
    </w:p>
    <w:p w14:paraId="7541F386">
      <w:pPr>
        <w:pStyle w:val="2"/>
        <w:ind w:firstLine="624" w:firstLineChars="200"/>
        <w:rPr>
          <w:rFonts w:eastAsia="仿宋_GB2312"/>
          <w:szCs w:val="32"/>
        </w:rPr>
      </w:pPr>
      <w:r>
        <w:rPr>
          <w:rFonts w:hint="eastAsia" w:eastAsia="仿宋_GB2312"/>
          <w:szCs w:val="32"/>
        </w:rPr>
        <w:t>（四）会计机构健全、财务管理制度完备，能提供至少一个完整会计年度经审计的财务会计报告，不存在控股股东、实际控制人及其他关联方占用、挪用该发行人及发行人合并报表范围内的企业、联营企业资金的情形；</w:t>
      </w:r>
    </w:p>
    <w:p w14:paraId="64E089EC">
      <w:pPr>
        <w:pStyle w:val="2"/>
        <w:ind w:firstLine="624" w:firstLineChars="200"/>
        <w:rPr>
          <w:rFonts w:eastAsia="仿宋_GB2312"/>
          <w:szCs w:val="32"/>
        </w:rPr>
      </w:pPr>
      <w:r>
        <w:rPr>
          <w:rFonts w:hint="eastAsia" w:eastAsia="仿宋_GB2312"/>
          <w:szCs w:val="32"/>
        </w:rPr>
        <w:t>（五）发行人为国有企业的，应当取得市级或者区级国有出资人或者主管部门同意发行及转股的书面批复；</w:t>
      </w:r>
    </w:p>
    <w:p w14:paraId="7A208D52">
      <w:pPr>
        <w:pStyle w:val="2"/>
        <w:ind w:firstLine="624" w:firstLineChars="200"/>
        <w:rPr>
          <w:rFonts w:eastAsia="仿宋_GB2312"/>
          <w:szCs w:val="32"/>
        </w:rPr>
      </w:pPr>
      <w:r>
        <w:rPr>
          <w:rFonts w:hint="eastAsia" w:eastAsia="仿宋_GB2312"/>
          <w:szCs w:val="32"/>
        </w:rPr>
        <w:t>（六）债券募集说明书中有具体的公司债券转换为股票的办法；</w:t>
      </w:r>
    </w:p>
    <w:p w14:paraId="635C7ED5">
      <w:pPr>
        <w:pStyle w:val="2"/>
        <w:ind w:firstLine="624" w:firstLineChars="200"/>
        <w:rPr>
          <w:rFonts w:eastAsia="仿宋_GB2312"/>
          <w:szCs w:val="32"/>
        </w:rPr>
      </w:pPr>
      <w:r>
        <w:rPr>
          <w:rFonts w:hint="eastAsia" w:eastAsia="仿宋_GB2312"/>
          <w:szCs w:val="32"/>
        </w:rPr>
        <w:t>（七）发行人已发行的公司债券或者其他债务没有处于持续状态的违约或者迟延支付本息的情形；</w:t>
      </w:r>
    </w:p>
    <w:p w14:paraId="7CADBC77">
      <w:pPr>
        <w:pStyle w:val="2"/>
        <w:ind w:firstLine="624" w:firstLineChars="200"/>
        <w:rPr>
          <w:rFonts w:eastAsia="仿宋_GB2312"/>
          <w:szCs w:val="32"/>
        </w:rPr>
      </w:pPr>
      <w:r>
        <w:rPr>
          <w:rFonts w:hint="eastAsia" w:eastAsia="仿宋_GB2312"/>
          <w:szCs w:val="32"/>
        </w:rPr>
        <w:t>（八）法律、行政法规和中国证监会规定的其他条件。</w:t>
      </w:r>
    </w:p>
    <w:p w14:paraId="0851B3B1">
      <w:pPr>
        <w:pStyle w:val="2"/>
        <w:ind w:firstLine="624" w:firstLineChars="200"/>
        <w:rPr>
          <w:rFonts w:eastAsia="仿宋_GB2312"/>
          <w:szCs w:val="32"/>
        </w:rPr>
      </w:pPr>
      <w:r>
        <w:rPr>
          <w:rFonts w:hint="eastAsia" w:eastAsia="仿宋_GB2312"/>
          <w:szCs w:val="32"/>
        </w:rPr>
        <w:t>企业发行可转债募集的资金，应当用于自身生产经营需要，不得将所募资金转借他人。</w:t>
      </w:r>
    </w:p>
    <w:p w14:paraId="394A9C30">
      <w:pPr>
        <w:pStyle w:val="2"/>
        <w:ind w:firstLine="624" w:firstLineChars="200"/>
        <w:rPr>
          <w:rFonts w:eastAsia="仿宋_GB2312"/>
          <w:szCs w:val="32"/>
        </w:rPr>
      </w:pPr>
      <w:r>
        <w:rPr>
          <w:rFonts w:hint="eastAsia" w:ascii="黑体" w:hAnsi="黑体" w:eastAsia="黑体" w:cs="黑体"/>
          <w:szCs w:val="32"/>
        </w:rPr>
        <w:t>第十条</w:t>
      </w:r>
      <w:r>
        <w:rPr>
          <w:rFonts w:hint="eastAsia" w:eastAsia="仿宋_GB2312"/>
          <w:szCs w:val="32"/>
        </w:rPr>
        <w:t>　在本市区域性股权市场挂牌转让证券的企业（以下简称挂牌公司），应当符合本细则第八条规定的条件。</w:t>
      </w:r>
    </w:p>
    <w:p w14:paraId="390A313C">
      <w:pPr>
        <w:pStyle w:val="2"/>
        <w:ind w:firstLine="624" w:firstLineChars="200"/>
        <w:rPr>
          <w:rFonts w:eastAsia="仿宋_GB2312"/>
          <w:szCs w:val="32"/>
        </w:rPr>
      </w:pPr>
      <w:r>
        <w:rPr>
          <w:rFonts w:hint="eastAsia" w:ascii="黑体" w:hAnsi="黑体" w:eastAsia="黑体" w:cs="黑体"/>
          <w:szCs w:val="32"/>
        </w:rPr>
        <w:t>第十一条</w:t>
      </w:r>
      <w:r>
        <w:rPr>
          <w:rFonts w:hint="eastAsia" w:eastAsia="仿宋_GB2312"/>
          <w:szCs w:val="32"/>
        </w:rPr>
        <w:t>　未经国务院有关部门认可，不得在本市区域性股权市场发行除股票、可转债之外的其他证券，不得违规发行或转让私募债券。</w:t>
      </w:r>
    </w:p>
    <w:p w14:paraId="682CBFF7">
      <w:pPr>
        <w:pStyle w:val="2"/>
        <w:ind w:firstLine="624" w:firstLineChars="200"/>
        <w:rPr>
          <w:rFonts w:eastAsia="仿宋_GB2312"/>
          <w:szCs w:val="32"/>
        </w:rPr>
      </w:pPr>
      <w:r>
        <w:rPr>
          <w:rFonts w:hint="eastAsia" w:ascii="黑体" w:hAnsi="黑体" w:eastAsia="黑体" w:cs="黑体"/>
          <w:szCs w:val="32"/>
        </w:rPr>
        <w:t>第十二条</w:t>
      </w:r>
      <w:r>
        <w:rPr>
          <w:rFonts w:hint="eastAsia" w:eastAsia="仿宋_GB2312"/>
          <w:szCs w:val="32"/>
        </w:rPr>
        <w:t>　在本市区域性股权市场转让证券的，不得采取集中竞价、连续竞价、做市商等集中交易方式。</w:t>
      </w:r>
    </w:p>
    <w:p w14:paraId="43C7FDBB">
      <w:pPr>
        <w:pStyle w:val="2"/>
        <w:ind w:firstLine="624" w:firstLineChars="200"/>
        <w:rPr>
          <w:rFonts w:eastAsia="仿宋_GB2312"/>
          <w:szCs w:val="32"/>
        </w:rPr>
      </w:pPr>
      <w:r>
        <w:rPr>
          <w:rFonts w:hint="eastAsia" w:eastAsia="仿宋_GB2312"/>
          <w:szCs w:val="32"/>
        </w:rPr>
        <w:t>投资者在本市区域性股权市场买入后卖出或者卖出后买入同一证券的时间间隔不得少于5个交易日。</w:t>
      </w:r>
    </w:p>
    <w:p w14:paraId="19EE88A4">
      <w:pPr>
        <w:pStyle w:val="2"/>
        <w:ind w:firstLine="624" w:firstLineChars="200"/>
        <w:rPr>
          <w:rFonts w:eastAsia="仿宋_GB2312"/>
          <w:szCs w:val="32"/>
        </w:rPr>
      </w:pPr>
      <w:r>
        <w:rPr>
          <w:rFonts w:hint="eastAsia" w:ascii="黑体" w:hAnsi="黑体" w:eastAsia="黑体" w:cs="黑体"/>
          <w:szCs w:val="32"/>
        </w:rPr>
        <w:t>第十三条</w:t>
      </w:r>
      <w:r>
        <w:rPr>
          <w:rFonts w:hint="eastAsia" w:eastAsia="仿宋_GB2312"/>
          <w:szCs w:val="32"/>
        </w:rPr>
        <w:t>　在本市区域性股权市场发行证券，应当向合格投资者发行。单只证券持有人数量累计不得超过200人，法律、行政法规另有规定的除外。</w:t>
      </w:r>
    </w:p>
    <w:p w14:paraId="1DBB50E1">
      <w:pPr>
        <w:pStyle w:val="2"/>
        <w:ind w:firstLine="624" w:firstLineChars="200"/>
        <w:rPr>
          <w:rFonts w:eastAsia="仿宋_GB2312"/>
          <w:szCs w:val="32"/>
        </w:rPr>
      </w:pPr>
      <w:r>
        <w:rPr>
          <w:rFonts w:hint="eastAsia" w:eastAsia="仿宋_GB2312"/>
          <w:szCs w:val="32"/>
        </w:rPr>
        <w:t>在本市区域性股权市场发行证券，不得通过拆分、代持等方式变相突破合格投资者标准。</w:t>
      </w:r>
    </w:p>
    <w:p w14:paraId="04BD867C">
      <w:pPr>
        <w:pStyle w:val="2"/>
        <w:ind w:firstLine="624" w:firstLineChars="200"/>
        <w:rPr>
          <w:rFonts w:eastAsia="仿宋_GB2312"/>
          <w:szCs w:val="32"/>
        </w:rPr>
      </w:pPr>
      <w:r>
        <w:rPr>
          <w:rFonts w:hint="eastAsia" w:ascii="黑体" w:hAnsi="黑体" w:eastAsia="黑体" w:cs="黑体"/>
          <w:szCs w:val="32"/>
        </w:rPr>
        <w:t>第十四条</w:t>
      </w:r>
      <w:r>
        <w:rPr>
          <w:rFonts w:hint="eastAsia" w:eastAsia="仿宋_GB2312"/>
          <w:szCs w:val="32"/>
        </w:rPr>
        <w:t>　在本市区域性股权市场发行可转债，原则上应当向机构投资者发行，且发行后所有存量债券持有人和发行人股东合计不超过200人。</w:t>
      </w:r>
    </w:p>
    <w:p w14:paraId="053E9475">
      <w:pPr>
        <w:pStyle w:val="2"/>
        <w:ind w:firstLine="624" w:firstLineChars="200"/>
        <w:rPr>
          <w:rFonts w:eastAsia="仿宋_GB2312"/>
          <w:szCs w:val="32"/>
        </w:rPr>
      </w:pPr>
      <w:r>
        <w:rPr>
          <w:rFonts w:hint="eastAsia" w:ascii="黑体" w:hAnsi="黑体" w:eastAsia="黑体" w:cs="黑体"/>
          <w:szCs w:val="32"/>
        </w:rPr>
        <w:t>第十五条</w:t>
      </w:r>
      <w:r>
        <w:rPr>
          <w:rFonts w:hint="eastAsia" w:eastAsia="仿宋_GB2312"/>
          <w:szCs w:val="32"/>
        </w:rPr>
        <w:t>　运营机构应当在证券发行、挂牌完成后5个工作日内报市地方金融管理局和天津证监局备案。</w:t>
      </w:r>
    </w:p>
    <w:p w14:paraId="1877A8F6">
      <w:pPr>
        <w:pStyle w:val="2"/>
        <w:ind w:firstLine="624" w:firstLineChars="200"/>
        <w:rPr>
          <w:rFonts w:eastAsia="仿宋_GB2312"/>
          <w:szCs w:val="32"/>
        </w:rPr>
      </w:pPr>
      <w:r>
        <w:rPr>
          <w:rFonts w:hint="eastAsia" w:ascii="黑体" w:hAnsi="黑体" w:eastAsia="黑体" w:cs="黑体"/>
          <w:szCs w:val="32"/>
        </w:rPr>
        <w:t>第十六条</w:t>
      </w:r>
      <w:r>
        <w:rPr>
          <w:rFonts w:hint="eastAsia" w:eastAsia="仿宋_GB2312"/>
          <w:szCs w:val="32"/>
        </w:rPr>
        <w:t>　证券发行人、挂牌公司及本市区域性股权市场的其他参与者应当按照规定和协议约定，真实、准确、完整地向投资者披露信息，不得有虚假记载、误导性陈述或者重大遗漏。运营机构应当依据非必要不披露原则建立差异化信息披露体系，建设信息披露网络平台，供信息披露义务人按照规定披露信息。</w:t>
      </w:r>
    </w:p>
    <w:p w14:paraId="0F741618">
      <w:pPr>
        <w:pStyle w:val="2"/>
        <w:ind w:firstLine="624" w:firstLineChars="200"/>
        <w:rPr>
          <w:rFonts w:eastAsia="仿宋_GB2312"/>
          <w:szCs w:val="32"/>
        </w:rPr>
      </w:pPr>
    </w:p>
    <w:p w14:paraId="3480325F">
      <w:pPr>
        <w:pStyle w:val="2"/>
        <w:jc w:val="center"/>
        <w:rPr>
          <w:rFonts w:ascii="黑体" w:hAnsi="黑体" w:eastAsia="黑体" w:cs="黑体"/>
          <w:szCs w:val="32"/>
        </w:rPr>
      </w:pPr>
      <w:r>
        <w:rPr>
          <w:rFonts w:hint="eastAsia" w:ascii="黑体" w:hAnsi="黑体" w:eastAsia="黑体" w:cs="黑体"/>
          <w:szCs w:val="32"/>
        </w:rPr>
        <w:t>第四章　账户管理与登记结算</w:t>
      </w:r>
    </w:p>
    <w:p w14:paraId="7DCEF9C3">
      <w:pPr>
        <w:pStyle w:val="2"/>
        <w:ind w:firstLine="624" w:firstLineChars="200"/>
        <w:rPr>
          <w:rFonts w:eastAsia="仿宋_GB2312"/>
          <w:szCs w:val="32"/>
        </w:rPr>
      </w:pPr>
    </w:p>
    <w:p w14:paraId="1D1C6D90">
      <w:pPr>
        <w:pStyle w:val="2"/>
        <w:ind w:firstLine="624" w:firstLineChars="200"/>
        <w:rPr>
          <w:rFonts w:eastAsia="仿宋_GB2312"/>
          <w:szCs w:val="32"/>
        </w:rPr>
      </w:pPr>
      <w:r>
        <w:rPr>
          <w:rFonts w:hint="eastAsia" w:ascii="黑体" w:hAnsi="黑体" w:eastAsia="黑体" w:cs="黑体"/>
          <w:szCs w:val="32"/>
        </w:rPr>
        <w:t>第十七条</w:t>
      </w:r>
      <w:r>
        <w:rPr>
          <w:rFonts w:hint="eastAsia" w:eastAsia="仿宋_GB2312"/>
          <w:szCs w:val="32"/>
        </w:rPr>
        <w:t>　本市区域性股权市场的登记结算业务，应当由运营机构或者中国证监会认可的登记结算机构办理。</w:t>
      </w:r>
    </w:p>
    <w:p w14:paraId="79AA6FC9">
      <w:pPr>
        <w:pStyle w:val="2"/>
        <w:ind w:firstLine="624" w:firstLineChars="200"/>
        <w:rPr>
          <w:rFonts w:eastAsia="仿宋_GB2312"/>
          <w:szCs w:val="32"/>
        </w:rPr>
      </w:pPr>
      <w:r>
        <w:rPr>
          <w:rFonts w:hint="eastAsia" w:ascii="黑体" w:hAnsi="黑体" w:eastAsia="黑体" w:cs="黑体"/>
          <w:szCs w:val="32"/>
        </w:rPr>
        <w:t>第十八条</w:t>
      </w:r>
      <w:r>
        <w:rPr>
          <w:rFonts w:hint="eastAsia" w:eastAsia="仿宋_GB2312"/>
          <w:szCs w:val="32"/>
        </w:rPr>
        <w:t>　投资者在本市区域性股权市场买卖证券，应当向办理登记结算业务的机构申请开立证券账户。</w:t>
      </w:r>
    </w:p>
    <w:p w14:paraId="594C9B24">
      <w:pPr>
        <w:pStyle w:val="2"/>
        <w:ind w:firstLine="624" w:firstLineChars="200"/>
        <w:rPr>
          <w:rFonts w:eastAsia="仿宋_GB2312"/>
          <w:szCs w:val="32"/>
        </w:rPr>
      </w:pPr>
      <w:r>
        <w:rPr>
          <w:rFonts w:hint="eastAsia" w:ascii="黑体" w:hAnsi="黑体" w:eastAsia="黑体" w:cs="黑体"/>
          <w:szCs w:val="32"/>
        </w:rPr>
        <w:t>第十九条</w:t>
      </w:r>
      <w:r>
        <w:rPr>
          <w:rFonts w:hint="eastAsia" w:eastAsia="仿宋_GB2312"/>
          <w:szCs w:val="32"/>
        </w:rPr>
        <w:t>　办理登记结算业务的机构应当规范证券账户信息开立、变更、补办、注销以及证券登记、结算、权益派发、查询服务等业务操作流程，不得挪用投资者的证券。</w:t>
      </w:r>
    </w:p>
    <w:p w14:paraId="77340549">
      <w:pPr>
        <w:pStyle w:val="2"/>
        <w:ind w:firstLine="624" w:firstLineChars="200"/>
        <w:rPr>
          <w:rFonts w:eastAsia="仿宋_GB2312"/>
          <w:szCs w:val="32"/>
        </w:rPr>
      </w:pPr>
      <w:r>
        <w:rPr>
          <w:rFonts w:hint="eastAsia" w:eastAsia="仿宋_GB2312"/>
          <w:szCs w:val="32"/>
        </w:rPr>
        <w:t>办理登记结算业务的机构应当按照中国证监会相关规定与中国证券登记结算有限责任公司建立证券账户对接机制，将本市区域性股权市场证券账户纳入到资本市场统一证券账户体系。</w:t>
      </w:r>
    </w:p>
    <w:p w14:paraId="54C9FFB3">
      <w:pPr>
        <w:pStyle w:val="2"/>
        <w:ind w:firstLine="624" w:firstLineChars="200"/>
        <w:rPr>
          <w:rFonts w:eastAsia="仿宋_GB2312"/>
          <w:szCs w:val="32"/>
        </w:rPr>
      </w:pPr>
      <w:r>
        <w:rPr>
          <w:rFonts w:hint="eastAsia" w:ascii="黑体" w:hAnsi="黑体" w:eastAsia="黑体" w:cs="黑体"/>
          <w:szCs w:val="32"/>
        </w:rPr>
        <w:t>第二十条</w:t>
      </w:r>
      <w:r>
        <w:rPr>
          <w:rFonts w:hint="eastAsia" w:eastAsia="仿宋_GB2312"/>
          <w:szCs w:val="32"/>
        </w:rPr>
        <w:t>　办理登记结算业务的机构应当妥善保存登记、结算的原始凭证及有关文件资料，保存期限不得少于20年。</w:t>
      </w:r>
    </w:p>
    <w:p w14:paraId="3FB2AEB1">
      <w:pPr>
        <w:pStyle w:val="2"/>
        <w:ind w:firstLine="624" w:firstLineChars="200"/>
        <w:rPr>
          <w:rFonts w:eastAsia="仿宋_GB2312"/>
          <w:szCs w:val="32"/>
        </w:rPr>
      </w:pPr>
      <w:r>
        <w:rPr>
          <w:rFonts w:hint="eastAsia" w:ascii="黑体" w:hAnsi="黑体" w:eastAsia="黑体" w:cs="黑体"/>
          <w:szCs w:val="32"/>
        </w:rPr>
        <w:t>第二十一条</w:t>
      </w:r>
      <w:r>
        <w:rPr>
          <w:rFonts w:hint="eastAsia" w:eastAsia="仿宋_GB2312"/>
          <w:szCs w:val="32"/>
        </w:rPr>
        <w:t>　投资者在本市区域性股权市场内买卖证券的资金，应当专户存放在商业银行或者国务院金融监督管理机构批准的具有证券期货保证金存管业务资格的机构。任何单位和个人不得以任何形式挪用投资者资金。</w:t>
      </w:r>
    </w:p>
    <w:p w14:paraId="5D6F120F">
      <w:pPr>
        <w:pStyle w:val="2"/>
        <w:ind w:firstLine="624" w:firstLineChars="200"/>
        <w:rPr>
          <w:rFonts w:eastAsia="仿宋_GB2312"/>
          <w:szCs w:val="32"/>
        </w:rPr>
      </w:pPr>
      <w:r>
        <w:rPr>
          <w:rFonts w:hint="eastAsia" w:ascii="黑体" w:hAnsi="黑体" w:eastAsia="黑体" w:cs="黑体"/>
          <w:szCs w:val="32"/>
        </w:rPr>
        <w:t>第二十二条</w:t>
      </w:r>
      <w:r>
        <w:rPr>
          <w:rFonts w:hint="eastAsia" w:eastAsia="仿宋_GB2312"/>
          <w:szCs w:val="32"/>
        </w:rPr>
        <w:t>　运营机构应当每日监测投资者资金的变动情况，发现异常情形及时处理并向市地方金融管理局和天津证监局报告。</w:t>
      </w:r>
    </w:p>
    <w:p w14:paraId="5A435953">
      <w:pPr>
        <w:pStyle w:val="2"/>
        <w:ind w:firstLine="624" w:firstLineChars="200"/>
        <w:rPr>
          <w:rFonts w:eastAsia="仿宋_GB2312"/>
          <w:szCs w:val="32"/>
        </w:rPr>
      </w:pPr>
    </w:p>
    <w:p w14:paraId="0E52F598">
      <w:pPr>
        <w:pStyle w:val="2"/>
        <w:jc w:val="center"/>
        <w:rPr>
          <w:rFonts w:ascii="黑体" w:hAnsi="黑体" w:eastAsia="黑体" w:cs="黑体"/>
          <w:szCs w:val="32"/>
        </w:rPr>
      </w:pPr>
      <w:r>
        <w:rPr>
          <w:rFonts w:hint="eastAsia" w:ascii="黑体" w:hAnsi="黑体" w:eastAsia="黑体" w:cs="黑体"/>
          <w:szCs w:val="32"/>
        </w:rPr>
        <w:t>第五章　企业培育</w:t>
      </w:r>
    </w:p>
    <w:p w14:paraId="24F3EF6D">
      <w:pPr>
        <w:pStyle w:val="2"/>
        <w:ind w:firstLine="624" w:firstLineChars="200"/>
        <w:rPr>
          <w:rFonts w:eastAsia="仿宋_GB2312"/>
          <w:szCs w:val="32"/>
        </w:rPr>
      </w:pPr>
    </w:p>
    <w:p w14:paraId="4E2F3B4E">
      <w:pPr>
        <w:pStyle w:val="2"/>
        <w:ind w:firstLine="624" w:firstLineChars="200"/>
        <w:rPr>
          <w:rFonts w:eastAsia="仿宋_GB2312"/>
          <w:szCs w:val="32"/>
        </w:rPr>
      </w:pPr>
      <w:r>
        <w:rPr>
          <w:rFonts w:hint="eastAsia" w:ascii="黑体" w:hAnsi="黑体" w:eastAsia="黑体" w:cs="黑体"/>
          <w:szCs w:val="32"/>
        </w:rPr>
        <w:t>第二十三条</w:t>
      </w:r>
      <w:r>
        <w:rPr>
          <w:rFonts w:hint="eastAsia" w:eastAsia="仿宋_GB2312"/>
          <w:szCs w:val="32"/>
        </w:rPr>
        <w:t>　本市区域性股权市场应当建立涵盖企业多维度信息的企业数据库，在保障信息安全和企业权益的前提下，加强信息共享和应用。企业相关信息应当根据企业授权或者监管部门</w:t>
      </w:r>
      <w:r>
        <w:rPr>
          <w:rFonts w:hint="eastAsia" w:eastAsia="仿宋_GB2312"/>
          <w:spacing w:val="-4"/>
          <w:szCs w:val="32"/>
        </w:rPr>
        <w:t>有关规定对外提供或使用，且信息及使用情况应当进行区块链存证。</w:t>
      </w:r>
    </w:p>
    <w:p w14:paraId="220788C0">
      <w:pPr>
        <w:pStyle w:val="2"/>
        <w:ind w:firstLine="624" w:firstLineChars="200"/>
        <w:rPr>
          <w:rFonts w:eastAsia="仿宋_GB2312"/>
          <w:szCs w:val="32"/>
        </w:rPr>
      </w:pPr>
      <w:r>
        <w:rPr>
          <w:rFonts w:hint="eastAsia" w:ascii="黑体" w:hAnsi="黑体" w:eastAsia="黑体" w:cs="黑体"/>
          <w:szCs w:val="32"/>
        </w:rPr>
        <w:t>第二十四条</w:t>
      </w:r>
      <w:r>
        <w:rPr>
          <w:rFonts w:hint="eastAsia" w:eastAsia="仿宋_GB2312"/>
          <w:szCs w:val="32"/>
        </w:rPr>
        <w:t>　运营机构可根据企业不同成长发展阶段的差异化需求，实施分层管理与服务，制定分层配套制度，明确分层标准、服务对象、服务内容。</w:t>
      </w:r>
    </w:p>
    <w:p w14:paraId="4EC3FF80">
      <w:pPr>
        <w:pStyle w:val="2"/>
        <w:ind w:firstLine="624" w:firstLineChars="200"/>
        <w:rPr>
          <w:rFonts w:eastAsia="仿宋_GB2312"/>
          <w:szCs w:val="32"/>
        </w:rPr>
      </w:pPr>
      <w:r>
        <w:rPr>
          <w:rFonts w:hint="eastAsia" w:ascii="黑体" w:hAnsi="黑体" w:eastAsia="黑体" w:cs="黑体"/>
          <w:szCs w:val="32"/>
        </w:rPr>
        <w:t>第二十五条</w:t>
      </w:r>
      <w:r>
        <w:rPr>
          <w:rFonts w:hint="eastAsia" w:eastAsia="仿宋_GB2312"/>
          <w:szCs w:val="32"/>
        </w:rPr>
        <w:t>　本市区域性股权市场可根据企业资质类型和自身意愿为企业提供挂牌、展示、纯托管等不同类别的服务，运营机构应当严格区分服务类型，并向企业明示各类型服务的不同条件要求以及有关权利义务，不得误导企业挂牌。</w:t>
      </w:r>
    </w:p>
    <w:p w14:paraId="67B87568">
      <w:pPr>
        <w:pStyle w:val="2"/>
        <w:ind w:firstLine="624" w:firstLineChars="200"/>
        <w:rPr>
          <w:rFonts w:eastAsia="仿宋_GB2312"/>
          <w:szCs w:val="32"/>
        </w:rPr>
      </w:pPr>
      <w:r>
        <w:rPr>
          <w:rFonts w:hint="eastAsia" w:ascii="黑体" w:hAnsi="黑体" w:eastAsia="黑体" w:cs="黑体"/>
          <w:szCs w:val="32"/>
        </w:rPr>
        <w:t>第二十六条</w:t>
      </w:r>
      <w:r>
        <w:rPr>
          <w:rFonts w:hint="eastAsia" w:eastAsia="仿宋_GB2312"/>
          <w:szCs w:val="32"/>
        </w:rPr>
        <w:t>　运营机构可以按照规定设立“专精特新”专板，聚焦服务本市中小企业专精特新发展，完善综合金融服务和上市规范培育功能。</w:t>
      </w:r>
    </w:p>
    <w:p w14:paraId="7DD48E58">
      <w:pPr>
        <w:pStyle w:val="2"/>
        <w:ind w:firstLine="624" w:firstLineChars="200"/>
        <w:rPr>
          <w:rFonts w:eastAsia="仿宋_GB2312"/>
          <w:szCs w:val="32"/>
        </w:rPr>
      </w:pPr>
      <w:r>
        <w:rPr>
          <w:rFonts w:hint="eastAsia" w:ascii="黑体" w:hAnsi="黑体" w:eastAsia="黑体" w:cs="黑体"/>
          <w:szCs w:val="32"/>
        </w:rPr>
        <w:t>第二十七条</w:t>
      </w:r>
      <w:r>
        <w:rPr>
          <w:rFonts w:hint="eastAsia" w:eastAsia="仿宋_GB2312"/>
          <w:szCs w:val="32"/>
        </w:rPr>
        <w:t>　运营机构可与全国中小企业股份转让系统有限责任公司签署监管合作协议，对本市区域性股权市场挂牌的创新型企业申请股票公开转让并在全国股转系统挂牌的，提供绿色通道或者公示审核程序服务。</w:t>
      </w:r>
    </w:p>
    <w:p w14:paraId="0DCBE280">
      <w:pPr>
        <w:pStyle w:val="2"/>
        <w:ind w:firstLine="624" w:firstLineChars="200"/>
        <w:rPr>
          <w:rFonts w:eastAsia="仿宋_GB2312"/>
          <w:szCs w:val="32"/>
        </w:rPr>
      </w:pPr>
      <w:r>
        <w:rPr>
          <w:rFonts w:hint="eastAsia" w:ascii="黑体" w:hAnsi="黑体" w:eastAsia="黑体" w:cs="黑体"/>
          <w:szCs w:val="32"/>
        </w:rPr>
        <w:t>第二十八条</w:t>
      </w:r>
      <w:r>
        <w:rPr>
          <w:rFonts w:hint="eastAsia" w:eastAsia="仿宋_GB2312"/>
          <w:szCs w:val="32"/>
        </w:rPr>
        <w:t>　运营机构应当加强同私募基金管理人的联系，根据企业融资需求以及私募基金管理人投资需求，有针对性地组织路演、推送优质企业，适时撮合被投项目的承接转让，并协助私募基金管理人做好投后管理和企业赋能。</w:t>
      </w:r>
    </w:p>
    <w:p w14:paraId="703776C3">
      <w:pPr>
        <w:pStyle w:val="2"/>
        <w:ind w:firstLine="624" w:firstLineChars="200"/>
        <w:rPr>
          <w:rFonts w:eastAsia="仿宋_GB2312"/>
          <w:szCs w:val="32"/>
        </w:rPr>
      </w:pPr>
    </w:p>
    <w:p w14:paraId="1110EC4F">
      <w:pPr>
        <w:pStyle w:val="2"/>
        <w:jc w:val="center"/>
        <w:rPr>
          <w:rFonts w:eastAsia="仿宋_GB2312"/>
          <w:szCs w:val="32"/>
        </w:rPr>
      </w:pPr>
      <w:r>
        <w:rPr>
          <w:rFonts w:hint="eastAsia" w:ascii="黑体" w:hAnsi="黑体" w:eastAsia="黑体" w:cs="黑体"/>
          <w:szCs w:val="32"/>
        </w:rPr>
        <w:t>第六章　市场自律</w:t>
      </w:r>
    </w:p>
    <w:p w14:paraId="379615AF">
      <w:pPr>
        <w:pStyle w:val="2"/>
        <w:ind w:firstLine="624" w:firstLineChars="200"/>
        <w:rPr>
          <w:rFonts w:eastAsia="仿宋_GB2312"/>
          <w:szCs w:val="32"/>
        </w:rPr>
      </w:pPr>
    </w:p>
    <w:p w14:paraId="5DAA71FA">
      <w:pPr>
        <w:pStyle w:val="2"/>
        <w:ind w:firstLine="624" w:firstLineChars="200"/>
        <w:rPr>
          <w:rFonts w:eastAsia="仿宋_GB2312"/>
          <w:szCs w:val="32"/>
        </w:rPr>
      </w:pPr>
      <w:r>
        <w:rPr>
          <w:rFonts w:hint="eastAsia" w:ascii="黑体" w:hAnsi="黑体" w:eastAsia="黑体" w:cs="黑体"/>
          <w:szCs w:val="32"/>
        </w:rPr>
        <w:t>第二十九条</w:t>
      </w:r>
      <w:r>
        <w:rPr>
          <w:rFonts w:hint="eastAsia" w:eastAsia="仿宋_GB2312"/>
          <w:szCs w:val="32"/>
        </w:rPr>
        <w:t>　运营机构应当采取如下措施对本市区域性股权市场参与者实施自律管理：</w:t>
      </w:r>
    </w:p>
    <w:p w14:paraId="7B389283">
      <w:pPr>
        <w:pStyle w:val="2"/>
        <w:ind w:firstLine="624" w:firstLineChars="200"/>
        <w:rPr>
          <w:rFonts w:eastAsia="仿宋_GB2312"/>
          <w:szCs w:val="32"/>
        </w:rPr>
      </w:pPr>
      <w:r>
        <w:rPr>
          <w:rFonts w:hint="eastAsia" w:eastAsia="仿宋_GB2312"/>
          <w:szCs w:val="32"/>
        </w:rPr>
        <w:t>（一）建立本市区域性股权市场诚信档案，按照规定提供诚信信息查询和公示，并将运营机构和本市区域性股权市场参与者及其相关人员的诚信信息记入中国证监会证券期货市场诚信档案数据库；</w:t>
      </w:r>
    </w:p>
    <w:p w14:paraId="07F8D825">
      <w:pPr>
        <w:pStyle w:val="2"/>
        <w:ind w:firstLine="624" w:firstLineChars="200"/>
        <w:rPr>
          <w:rFonts w:eastAsia="仿宋_GB2312"/>
          <w:szCs w:val="32"/>
        </w:rPr>
      </w:pPr>
      <w:r>
        <w:rPr>
          <w:rFonts w:hint="eastAsia" w:eastAsia="仿宋_GB2312"/>
          <w:szCs w:val="32"/>
        </w:rPr>
        <w:t>（二）按照规定对本市区域性股权市场参与者的违法行为及违反自律管理规则的行为，采取约见谈话、出具警示函、责令整改、暂停交易、取消资格等自律管理措施，并向市地方金融管理局和天津证监局报告；</w:t>
      </w:r>
    </w:p>
    <w:p w14:paraId="4577D182">
      <w:pPr>
        <w:pStyle w:val="2"/>
        <w:ind w:firstLine="624" w:firstLineChars="200"/>
        <w:rPr>
          <w:rFonts w:eastAsia="仿宋_GB2312"/>
          <w:szCs w:val="32"/>
        </w:rPr>
      </w:pPr>
      <w:r>
        <w:rPr>
          <w:rFonts w:hint="eastAsia" w:eastAsia="仿宋_GB2312"/>
          <w:szCs w:val="32"/>
        </w:rPr>
        <w:t>（三）建立企业退出机制，明确摘牌条件和程序，对于严重违法违规和不符合挂牌条件的企业，及时进行摘牌；</w:t>
      </w:r>
    </w:p>
    <w:p w14:paraId="1D5721B4">
      <w:pPr>
        <w:pStyle w:val="2"/>
        <w:ind w:firstLine="624" w:firstLineChars="200"/>
        <w:rPr>
          <w:rFonts w:eastAsia="仿宋_GB2312"/>
          <w:szCs w:val="32"/>
        </w:rPr>
      </w:pPr>
      <w:r>
        <w:rPr>
          <w:rFonts w:hint="eastAsia" w:eastAsia="仿宋_GB2312"/>
          <w:szCs w:val="32"/>
        </w:rPr>
        <w:t>（四）畅通投诉渠道，妥善处理投资者投诉，保护投资者合法权益；</w:t>
      </w:r>
    </w:p>
    <w:p w14:paraId="05A42330">
      <w:pPr>
        <w:pStyle w:val="2"/>
        <w:ind w:firstLine="624" w:firstLineChars="200"/>
        <w:rPr>
          <w:rFonts w:eastAsia="仿宋_GB2312"/>
          <w:szCs w:val="32"/>
        </w:rPr>
      </w:pPr>
      <w:r>
        <w:rPr>
          <w:rFonts w:hint="eastAsia" w:eastAsia="仿宋_GB2312"/>
          <w:szCs w:val="32"/>
        </w:rPr>
        <w:t>（五）</w:t>
      </w:r>
      <w:r>
        <w:rPr>
          <w:rFonts w:hint="eastAsia" w:eastAsia="仿宋_GB2312"/>
          <w:spacing w:val="-2"/>
          <w:szCs w:val="32"/>
        </w:rPr>
        <w:t>法律、行政法规和中国证监会规定的其他自律管理措施。</w:t>
      </w:r>
    </w:p>
    <w:p w14:paraId="092EA8EA">
      <w:pPr>
        <w:pStyle w:val="2"/>
        <w:ind w:firstLine="624" w:firstLineChars="200"/>
        <w:rPr>
          <w:rFonts w:eastAsia="仿宋_GB2312"/>
          <w:szCs w:val="32"/>
        </w:rPr>
      </w:pPr>
      <w:r>
        <w:rPr>
          <w:rFonts w:hint="eastAsia" w:ascii="黑体" w:hAnsi="黑体" w:eastAsia="黑体" w:cs="黑体"/>
          <w:szCs w:val="32"/>
        </w:rPr>
        <w:t>第三十条</w:t>
      </w:r>
      <w:r>
        <w:rPr>
          <w:rFonts w:hint="eastAsia" w:eastAsia="仿宋_GB2312"/>
          <w:szCs w:val="32"/>
        </w:rPr>
        <w:t>　运营机构应当按照要求向市地方金融管理局和天津证监局报告本市区域性股权市场运营情况，及时发布年度报告。</w:t>
      </w:r>
    </w:p>
    <w:p w14:paraId="2115A644">
      <w:pPr>
        <w:pStyle w:val="2"/>
        <w:ind w:firstLine="624" w:firstLineChars="200"/>
        <w:rPr>
          <w:rFonts w:eastAsia="仿宋_GB2312"/>
          <w:szCs w:val="32"/>
        </w:rPr>
      </w:pPr>
    </w:p>
    <w:p w14:paraId="0FD05258">
      <w:pPr>
        <w:pStyle w:val="2"/>
        <w:jc w:val="center"/>
        <w:rPr>
          <w:rFonts w:ascii="黑体" w:hAnsi="黑体" w:eastAsia="黑体" w:cs="黑体"/>
          <w:szCs w:val="32"/>
        </w:rPr>
      </w:pPr>
      <w:r>
        <w:rPr>
          <w:rFonts w:hint="eastAsia" w:ascii="黑体" w:hAnsi="黑体" w:eastAsia="黑体" w:cs="黑体"/>
          <w:szCs w:val="32"/>
        </w:rPr>
        <w:t>第七章　监督管理</w:t>
      </w:r>
    </w:p>
    <w:p w14:paraId="47C264B0">
      <w:pPr>
        <w:pStyle w:val="2"/>
        <w:ind w:firstLine="624" w:firstLineChars="200"/>
        <w:rPr>
          <w:rFonts w:eastAsia="仿宋_GB2312"/>
          <w:szCs w:val="32"/>
        </w:rPr>
      </w:pPr>
    </w:p>
    <w:p w14:paraId="2C9DF32C">
      <w:pPr>
        <w:pStyle w:val="2"/>
        <w:ind w:firstLine="624" w:firstLineChars="200"/>
        <w:rPr>
          <w:rFonts w:eastAsia="仿宋_GB2312"/>
          <w:szCs w:val="32"/>
        </w:rPr>
      </w:pPr>
      <w:r>
        <w:rPr>
          <w:rFonts w:hint="eastAsia" w:ascii="黑体" w:hAnsi="黑体" w:eastAsia="黑体" w:cs="黑体"/>
          <w:szCs w:val="32"/>
        </w:rPr>
        <w:t>第三十一条</w:t>
      </w:r>
      <w:r>
        <w:rPr>
          <w:rFonts w:hint="eastAsia" w:eastAsia="仿宋_GB2312"/>
          <w:szCs w:val="32"/>
        </w:rPr>
        <w:t>　市地方金融管理局每年至少组织一次全面或专项现场检查，及时处置发现的问题和风险。现场检查可以采取下列措施：</w:t>
      </w:r>
    </w:p>
    <w:p w14:paraId="0E8CFD46">
      <w:pPr>
        <w:pStyle w:val="2"/>
        <w:ind w:firstLine="624" w:firstLineChars="200"/>
        <w:rPr>
          <w:rFonts w:eastAsia="仿宋_GB2312"/>
          <w:szCs w:val="32"/>
        </w:rPr>
      </w:pPr>
      <w:r>
        <w:rPr>
          <w:rFonts w:hint="eastAsia" w:eastAsia="仿宋_GB2312"/>
          <w:szCs w:val="32"/>
        </w:rPr>
        <w:t>（一）进入运营机构或者本市区域性股权市场有关参与者的办公场所或者营业场所进行检查；</w:t>
      </w:r>
    </w:p>
    <w:p w14:paraId="58B40F44">
      <w:pPr>
        <w:pStyle w:val="2"/>
        <w:ind w:firstLine="624" w:firstLineChars="200"/>
        <w:rPr>
          <w:rFonts w:eastAsia="仿宋_GB2312"/>
          <w:szCs w:val="32"/>
        </w:rPr>
      </w:pPr>
      <w:r>
        <w:rPr>
          <w:rFonts w:hint="eastAsia" w:eastAsia="仿宋_GB2312"/>
          <w:szCs w:val="32"/>
        </w:rPr>
        <w:t>（二）询问运营机构或者本市区域性股权市场有关参与者的负责人、工作人员，要求其对有关检查事项作出说明；</w:t>
      </w:r>
    </w:p>
    <w:p w14:paraId="6864352D">
      <w:pPr>
        <w:pStyle w:val="2"/>
        <w:ind w:firstLine="624" w:firstLineChars="200"/>
        <w:rPr>
          <w:rFonts w:eastAsia="仿宋_GB2312"/>
          <w:szCs w:val="32"/>
        </w:rPr>
      </w:pPr>
      <w:r>
        <w:rPr>
          <w:rFonts w:hint="eastAsia" w:eastAsia="仿宋_GB2312"/>
          <w:szCs w:val="32"/>
        </w:rPr>
        <w:t>（三）查阅、复制与检查事项有关的文件、资料，对可能被转移、隐匿或者毁损的文件、资料、电子设备予以封存；</w:t>
      </w:r>
    </w:p>
    <w:p w14:paraId="1397724E">
      <w:pPr>
        <w:pStyle w:val="2"/>
        <w:ind w:firstLine="624" w:firstLineChars="200"/>
        <w:rPr>
          <w:rFonts w:eastAsia="仿宋_GB2312"/>
          <w:szCs w:val="32"/>
        </w:rPr>
      </w:pPr>
      <w:r>
        <w:rPr>
          <w:rFonts w:hint="eastAsia" w:eastAsia="仿宋_GB2312"/>
          <w:szCs w:val="32"/>
        </w:rPr>
        <w:t>（四）检查运营机构或者本市区域性股权市场有关参与者的信息系统，复制有关数据资料；</w:t>
      </w:r>
    </w:p>
    <w:p w14:paraId="5355523A">
      <w:pPr>
        <w:pStyle w:val="2"/>
        <w:ind w:firstLine="624" w:firstLineChars="200"/>
        <w:rPr>
          <w:rFonts w:eastAsia="仿宋_GB2312"/>
          <w:szCs w:val="32"/>
        </w:rPr>
      </w:pPr>
      <w:r>
        <w:rPr>
          <w:rFonts w:hint="eastAsia" w:eastAsia="仿宋_GB2312"/>
          <w:szCs w:val="32"/>
        </w:rPr>
        <w:t>（五）法律、行政法规和中国证监会规定的其他措施。</w:t>
      </w:r>
    </w:p>
    <w:p w14:paraId="3B8C7E6C">
      <w:pPr>
        <w:pStyle w:val="2"/>
        <w:ind w:firstLine="624" w:firstLineChars="200"/>
        <w:rPr>
          <w:rFonts w:eastAsia="仿宋_GB2312"/>
          <w:szCs w:val="32"/>
        </w:rPr>
      </w:pPr>
      <w:r>
        <w:rPr>
          <w:rFonts w:hint="eastAsia" w:ascii="黑体" w:hAnsi="黑体" w:eastAsia="黑体" w:cs="黑体"/>
          <w:szCs w:val="32"/>
        </w:rPr>
        <w:t>第三十二条</w:t>
      </w:r>
      <w:r>
        <w:rPr>
          <w:rFonts w:hint="eastAsia" w:eastAsia="仿宋_GB2312"/>
          <w:szCs w:val="32"/>
        </w:rPr>
        <w:t>　市地方金融管理局与天津证监局建立本市区域性股权市场监管合作及信息共享机制，并可以对运营机构制定的业务操作细则、自律管理规则进行检查，发现违反相关规定的，责令其修改。</w:t>
      </w:r>
    </w:p>
    <w:p w14:paraId="5DBCA346">
      <w:pPr>
        <w:pStyle w:val="2"/>
        <w:ind w:firstLine="624" w:firstLineChars="200"/>
        <w:rPr>
          <w:rFonts w:eastAsia="仿宋_GB2312"/>
          <w:szCs w:val="32"/>
        </w:rPr>
      </w:pPr>
      <w:r>
        <w:rPr>
          <w:rFonts w:hint="eastAsia" w:ascii="黑体" w:hAnsi="黑体" w:eastAsia="黑体" w:cs="黑体"/>
          <w:szCs w:val="32"/>
        </w:rPr>
        <w:t>第三十三条</w:t>
      </w:r>
      <w:r>
        <w:rPr>
          <w:rFonts w:hint="eastAsia" w:eastAsia="仿宋_GB2312"/>
          <w:szCs w:val="32"/>
        </w:rPr>
        <w:t>　市地方金融管理局和天津证监局依法履行职责，被检查、调查的单位和个人应当配合，如实提供有关文件和资料，不得拒绝、阻碍和隐瞒。</w:t>
      </w:r>
    </w:p>
    <w:p w14:paraId="0DA8618E">
      <w:pPr>
        <w:pStyle w:val="2"/>
        <w:ind w:firstLine="624" w:firstLineChars="200"/>
        <w:rPr>
          <w:rFonts w:eastAsia="仿宋_GB2312"/>
          <w:szCs w:val="32"/>
        </w:rPr>
      </w:pPr>
      <w:r>
        <w:rPr>
          <w:rFonts w:hint="eastAsia" w:ascii="黑体" w:hAnsi="黑体" w:eastAsia="黑体" w:cs="黑体"/>
          <w:szCs w:val="32"/>
        </w:rPr>
        <w:t>第三十四条</w:t>
      </w:r>
      <w:r>
        <w:rPr>
          <w:rFonts w:hint="eastAsia" w:eastAsia="仿宋_GB2312"/>
          <w:szCs w:val="32"/>
        </w:rPr>
        <w:t>　市地方金融管理局充分运用大数据、云计算等现代信息技术，对本市区域性股权市场进行非现场监管。</w:t>
      </w:r>
    </w:p>
    <w:p w14:paraId="402AB0CD">
      <w:pPr>
        <w:pStyle w:val="2"/>
        <w:ind w:firstLine="624" w:firstLineChars="200"/>
        <w:rPr>
          <w:rFonts w:eastAsia="仿宋_GB2312"/>
          <w:szCs w:val="32"/>
        </w:rPr>
      </w:pPr>
      <w:r>
        <w:rPr>
          <w:rFonts w:hint="eastAsia" w:ascii="黑体" w:hAnsi="黑体" w:eastAsia="黑体" w:cs="黑体"/>
          <w:szCs w:val="32"/>
        </w:rPr>
        <w:t>第三十五条</w:t>
      </w:r>
      <w:r>
        <w:rPr>
          <w:rFonts w:hint="eastAsia" w:eastAsia="仿宋_GB2312"/>
          <w:szCs w:val="32"/>
        </w:rPr>
        <w:t>　市地方金融管理局发现运营机构、本市区域性股权市场有关参与者存在违反《区域性股权市场监督管理试行办法》和本细则的行为，可以采取责令改正、监管谈话、出具警示函、责令参加培训、责令定期报告、认定为不适当人选等监管措施；法律法规规章规定应当予以行政处罚的，依法给予行政处罚。</w:t>
      </w:r>
    </w:p>
    <w:p w14:paraId="3A6EDEEE">
      <w:pPr>
        <w:pStyle w:val="2"/>
        <w:ind w:firstLine="616" w:firstLineChars="200"/>
        <w:rPr>
          <w:rFonts w:eastAsia="仿宋_GB2312"/>
          <w:spacing w:val="-2"/>
          <w:szCs w:val="32"/>
        </w:rPr>
      </w:pPr>
      <w:r>
        <w:rPr>
          <w:rFonts w:hint="eastAsia" w:eastAsia="仿宋_GB2312"/>
          <w:spacing w:val="-2"/>
          <w:szCs w:val="32"/>
        </w:rPr>
        <w:t>市地方金融管理局应当及时将相关处理情况通报天津证监局。</w:t>
      </w:r>
    </w:p>
    <w:p w14:paraId="32DA624B">
      <w:pPr>
        <w:pStyle w:val="2"/>
        <w:ind w:firstLine="624" w:firstLineChars="200"/>
        <w:rPr>
          <w:rFonts w:eastAsia="仿宋_GB2312"/>
          <w:szCs w:val="32"/>
        </w:rPr>
      </w:pPr>
    </w:p>
    <w:p w14:paraId="247225D5">
      <w:pPr>
        <w:pStyle w:val="2"/>
        <w:jc w:val="center"/>
        <w:rPr>
          <w:rFonts w:ascii="黑体" w:hAnsi="黑体" w:eastAsia="黑体" w:cs="黑体"/>
          <w:szCs w:val="32"/>
        </w:rPr>
      </w:pPr>
      <w:r>
        <w:rPr>
          <w:rFonts w:hint="eastAsia" w:ascii="黑体" w:hAnsi="黑体" w:eastAsia="黑体" w:cs="黑体"/>
          <w:szCs w:val="32"/>
        </w:rPr>
        <w:t>第八章　风险防范与处置</w:t>
      </w:r>
    </w:p>
    <w:p w14:paraId="75EC20FA">
      <w:pPr>
        <w:pStyle w:val="2"/>
        <w:ind w:firstLine="624" w:firstLineChars="200"/>
        <w:rPr>
          <w:rFonts w:eastAsia="仿宋_GB2312"/>
          <w:szCs w:val="32"/>
        </w:rPr>
      </w:pPr>
    </w:p>
    <w:p w14:paraId="180A23B2">
      <w:pPr>
        <w:pStyle w:val="2"/>
        <w:ind w:firstLine="624" w:firstLineChars="200"/>
        <w:rPr>
          <w:rFonts w:eastAsia="仿宋_GB2312"/>
          <w:szCs w:val="32"/>
        </w:rPr>
      </w:pPr>
      <w:r>
        <w:rPr>
          <w:rFonts w:hint="eastAsia" w:ascii="黑体" w:hAnsi="黑体" w:eastAsia="黑体" w:cs="黑体"/>
          <w:szCs w:val="32"/>
        </w:rPr>
        <w:t>第三十六条</w:t>
      </w:r>
      <w:r>
        <w:rPr>
          <w:rFonts w:hint="eastAsia" w:eastAsia="仿宋_GB2312"/>
          <w:szCs w:val="32"/>
        </w:rPr>
        <w:t>　运营机构应当建立本市区域性股权市场风险防控机制，制定风险防范及处置办法。发生影响或者可能影响本市区域性股权市场安全稳定运行的重大事件时，运营机构应当立即向市地方金融管理局和天津证监局报告，说明事件起因、目前状态、可能引发的后果以及应对方案或者措施。</w:t>
      </w:r>
    </w:p>
    <w:p w14:paraId="564F20A8">
      <w:pPr>
        <w:pStyle w:val="2"/>
        <w:ind w:firstLine="624" w:firstLineChars="200"/>
        <w:rPr>
          <w:rFonts w:eastAsia="仿宋_GB2312"/>
          <w:szCs w:val="32"/>
        </w:rPr>
      </w:pPr>
      <w:r>
        <w:rPr>
          <w:rFonts w:hint="eastAsia" w:ascii="黑体" w:hAnsi="黑体" w:eastAsia="黑体" w:cs="黑体"/>
          <w:szCs w:val="32"/>
        </w:rPr>
        <w:t>第三十七条</w:t>
      </w:r>
      <w:r>
        <w:rPr>
          <w:rFonts w:hint="eastAsia" w:eastAsia="仿宋_GB2312"/>
          <w:szCs w:val="32"/>
        </w:rPr>
        <w:t>　运营机构控股股东或者实际控制人有重大违法违规行为和严重失信行为，或者对本市区域性股权市场造成重大风险的，市地方金融管理局应当予以劝退或者要求其持股比例（关联方和一致行动人持股合并计算）降低至百分之五以下。</w:t>
      </w:r>
    </w:p>
    <w:p w14:paraId="19D07CDE">
      <w:pPr>
        <w:pStyle w:val="2"/>
        <w:ind w:firstLine="624" w:firstLineChars="200"/>
        <w:rPr>
          <w:rFonts w:eastAsia="仿宋_GB2312"/>
          <w:szCs w:val="32"/>
        </w:rPr>
      </w:pPr>
      <w:r>
        <w:rPr>
          <w:rFonts w:hint="eastAsia" w:ascii="黑体" w:hAnsi="黑体" w:eastAsia="黑体" w:cs="黑体"/>
          <w:szCs w:val="32"/>
        </w:rPr>
        <w:t>第三十八条</w:t>
      </w:r>
      <w:r>
        <w:rPr>
          <w:rFonts w:hint="eastAsia" w:eastAsia="仿宋_GB2312"/>
          <w:szCs w:val="32"/>
        </w:rPr>
        <w:t>　天津证监局可以对本市区域性股权市场的安全规范运行情况、风险管理能力等进行监测评估。评估结果应当作为本市区域性股权市场开展先行先试相关业务的审慎性条件。</w:t>
      </w:r>
    </w:p>
    <w:p w14:paraId="21136A2A">
      <w:pPr>
        <w:pStyle w:val="2"/>
        <w:ind w:firstLine="624" w:firstLineChars="200"/>
        <w:rPr>
          <w:rFonts w:eastAsia="仿宋_GB2312"/>
          <w:szCs w:val="32"/>
        </w:rPr>
      </w:pPr>
      <w:r>
        <w:rPr>
          <w:rFonts w:hint="eastAsia" w:ascii="黑体" w:hAnsi="黑体" w:eastAsia="黑体" w:cs="黑体"/>
          <w:szCs w:val="32"/>
        </w:rPr>
        <w:t>第三十九条</w:t>
      </w:r>
      <w:r>
        <w:rPr>
          <w:rFonts w:hint="eastAsia" w:eastAsia="仿宋_GB2312"/>
          <w:szCs w:val="32"/>
        </w:rPr>
        <w:t>　市地方金融管理局应当建立完善本市区域性股权市场风险报告路径和处置流程，积极稳妥组织风险防范、处置工作。</w:t>
      </w:r>
    </w:p>
    <w:p w14:paraId="77B5B69E">
      <w:pPr>
        <w:pStyle w:val="2"/>
        <w:ind w:firstLine="624" w:firstLineChars="200"/>
        <w:rPr>
          <w:rFonts w:eastAsia="仿宋_GB2312"/>
          <w:szCs w:val="32"/>
        </w:rPr>
      </w:pPr>
    </w:p>
    <w:p w14:paraId="564AE501">
      <w:pPr>
        <w:pStyle w:val="2"/>
        <w:jc w:val="center"/>
        <w:rPr>
          <w:rFonts w:ascii="黑体" w:hAnsi="黑体" w:eastAsia="黑体" w:cs="黑体"/>
          <w:szCs w:val="32"/>
        </w:rPr>
      </w:pPr>
      <w:r>
        <w:rPr>
          <w:rFonts w:hint="eastAsia" w:ascii="黑体" w:hAnsi="黑体" w:eastAsia="黑体" w:cs="黑体"/>
          <w:szCs w:val="32"/>
        </w:rPr>
        <w:t>第九章　附则</w:t>
      </w:r>
    </w:p>
    <w:p w14:paraId="0017B878">
      <w:pPr>
        <w:pStyle w:val="2"/>
        <w:ind w:firstLine="624" w:firstLineChars="200"/>
        <w:rPr>
          <w:rFonts w:eastAsia="仿宋_GB2312"/>
          <w:szCs w:val="32"/>
        </w:rPr>
      </w:pPr>
    </w:p>
    <w:p w14:paraId="27147FE5">
      <w:pPr>
        <w:pStyle w:val="2"/>
        <w:ind w:firstLine="624" w:firstLineChars="200"/>
        <w:rPr>
          <w:rFonts w:eastAsia="仿宋_GB2312"/>
          <w:szCs w:val="32"/>
        </w:rPr>
      </w:pPr>
      <w:r>
        <w:rPr>
          <w:rFonts w:hint="eastAsia" w:ascii="黑体" w:hAnsi="黑体" w:eastAsia="黑体" w:cs="黑体"/>
          <w:szCs w:val="32"/>
        </w:rPr>
        <w:t>第四十条</w:t>
      </w:r>
      <w:r>
        <w:rPr>
          <w:rFonts w:hint="eastAsia" w:eastAsia="仿宋_GB2312"/>
          <w:szCs w:val="32"/>
        </w:rPr>
        <w:t>　本市区域性股权市场为本市行政区域内的有限责任公司股权融资或者转让提供服务的，参照适用本细则。</w:t>
      </w:r>
    </w:p>
    <w:p w14:paraId="0094C705">
      <w:pPr>
        <w:pStyle w:val="2"/>
        <w:ind w:firstLine="624" w:firstLineChars="200"/>
        <w:rPr>
          <w:rFonts w:eastAsia="仿宋_GB2312"/>
          <w:szCs w:val="32"/>
        </w:rPr>
      </w:pPr>
      <w:r>
        <w:rPr>
          <w:rFonts w:hint="eastAsia" w:ascii="黑体" w:hAnsi="黑体" w:eastAsia="黑体" w:cs="黑体"/>
          <w:szCs w:val="32"/>
        </w:rPr>
        <w:t>第四十一条</w:t>
      </w:r>
      <w:r>
        <w:rPr>
          <w:rFonts w:hint="eastAsia" w:eastAsia="仿宋_GB2312"/>
          <w:szCs w:val="32"/>
        </w:rPr>
        <w:t>　本细则自印发之日起施行，有效期5年。</w:t>
      </w:r>
    </w:p>
    <w:sectPr>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F38B">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12</w:t>
    </w:r>
    <w:r>
      <w:rPr>
        <w:sz w:val="28"/>
      </w:rPr>
      <w:fldChar w:fldCharType="end"/>
    </w:r>
    <w:r>
      <w:rPr>
        <w:rStyle w:val="9"/>
        <w:sz w:val="28"/>
      </w:rPr>
      <w:t xml:space="preserve"> </w:t>
    </w:r>
    <w:r>
      <w:rPr>
        <w:rStyle w:val="9"/>
        <w:rFonts w:hint="eastAsia"/>
        <w:sz w:val="28"/>
      </w:rPr>
      <w:t>—</w:t>
    </w:r>
  </w:p>
  <w:p w14:paraId="3AAAC23B">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369F">
    <w:pPr>
      <w:pStyle w:val="5"/>
      <w:framePr w:wrap="around" w:vAnchor="text" w:hAnchor="margin" w:xAlign="outside" w:y="1"/>
      <w:rPr>
        <w:rStyle w:val="9"/>
      </w:rPr>
    </w:pPr>
    <w:r>
      <w:fldChar w:fldCharType="begin"/>
    </w:r>
    <w:r>
      <w:rPr>
        <w:rStyle w:val="9"/>
      </w:rPr>
      <w:instrText xml:space="preserve">PAGE  </w:instrText>
    </w:r>
    <w:r>
      <w:fldChar w:fldCharType="end"/>
    </w:r>
  </w:p>
  <w:p w14:paraId="328EC1DC">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A83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6E"/>
    <w:rsid w:val="000007A8"/>
    <w:rsid w:val="000044C7"/>
    <w:rsid w:val="000068A5"/>
    <w:rsid w:val="0003738B"/>
    <w:rsid w:val="00071623"/>
    <w:rsid w:val="000E2D13"/>
    <w:rsid w:val="00143BAA"/>
    <w:rsid w:val="00184D7D"/>
    <w:rsid w:val="001C2AA4"/>
    <w:rsid w:val="001C3B43"/>
    <w:rsid w:val="002A3B5A"/>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97E5A"/>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14BF5"/>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08353E32"/>
    <w:rsid w:val="2EE802D1"/>
    <w:rsid w:val="3F5E8E5A"/>
    <w:rsid w:val="4BF9C309"/>
    <w:rsid w:val="5AFF9A3F"/>
    <w:rsid w:val="67B19DFB"/>
    <w:rsid w:val="73B9FAEF"/>
    <w:rsid w:val="73EBCF1D"/>
    <w:rsid w:val="76CF0C9B"/>
    <w:rsid w:val="7B7E5465"/>
    <w:rsid w:val="8B7F53A3"/>
    <w:rsid w:val="B9EAC4E9"/>
    <w:rsid w:val="BCDE2957"/>
    <w:rsid w:val="E3E8D0EE"/>
    <w:rsid w:val="F3FE2F7B"/>
    <w:rsid w:val="F7D7459B"/>
    <w:rsid w:val="FFE5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正文文本 Char"/>
    <w:link w:val="2"/>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12</Pages>
  <Words>815</Words>
  <Characters>823</Characters>
  <Lines>35</Lines>
  <Paragraphs>10</Paragraphs>
  <TotalTime>0</TotalTime>
  <ScaleCrop>false</ScaleCrop>
  <LinksUpToDate>false</LinksUpToDate>
  <CharactersWithSpaces>842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2020-01-13T15:58:00Z</dcterms:created>
  <dc:creator>jsj</dc:creator>
  <cp:lastModifiedBy>茶_末香</cp:lastModifiedBy>
  <cp:lastPrinted>2025-07-30T02:25:00Z</cp:lastPrinted>
  <dcterms:modified xsi:type="dcterms:W3CDTF">2025-07-31T01:35:47Z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3C4D43571D914E2DA1082AA4FD372EC9_13</vt:lpwstr>
  </property>
  <property fmtid="{D5CDD505-2E9C-101B-9397-08002B2CF9AE}" pid="4" name="KSOTemplateDocerSaveRecord">
    <vt:lpwstr>eyJoZGlkIjoiYTNkYmJjMjk5ZDUzYjRkMjNiNTE4YzU5YTRlNTM3MmQiLCJ1c2VySWQiOiI1NDcyODA4MDMifQ==</vt:lpwstr>
  </property>
</Properties>
</file>